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008B5C" w14:textId="770DA496" w:rsidR="00393761" w:rsidRPr="00CE398A" w:rsidRDefault="007D4320" w:rsidP="00F049AB">
      <w:pPr>
        <w:pStyle w:val="Tytuinfomacjisygnalnej"/>
      </w:pPr>
      <w:r>
        <w:t xml:space="preserve">Statystyka Warszawy    Nr </w:t>
      </w:r>
      <w:r w:rsidR="00B47661">
        <w:t>4</w:t>
      </w:r>
      <w:r w:rsidR="00EA78FB" w:rsidRPr="00CE398A">
        <w:t>/2022</w:t>
      </w:r>
      <w:r w:rsidR="00364AF9" w:rsidRPr="00CE398A">
        <w:rPr>
          <w:sz w:val="32"/>
        </w:rPr>
        <w:tab/>
      </w:r>
    </w:p>
    <w:p w14:paraId="1E690351" w14:textId="50C384AA" w:rsidR="00DE58F1" w:rsidRPr="00EA78FB" w:rsidRDefault="00731D27" w:rsidP="00F049AB">
      <w:pPr>
        <w:pStyle w:val="Lead"/>
        <w:rPr>
          <w:rFonts w:eastAsia="Times New Roman" w:cs="Times New Roman"/>
          <w:bCs/>
          <w:noProof w:val="0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17081A12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152650" cy="1724660"/>
                <wp:effectExtent l="0" t="0" r="0" b="8890"/>
                <wp:wrapSquare wrapText="bothSides"/>
                <wp:docPr id="6" name="Pole tekstowe 2" descr="25,3%  – Wzrost liczby ofert pracy rok do ro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1725283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4F553870" w:rsidR="005C0CAC" w:rsidRPr="005A586A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7D4320">
                              <w:rPr>
                                <w:rStyle w:val="IkonawskanikaZnak"/>
                                <w:sz w:val="76"/>
                              </w:rPr>
                              <w:sym w:font="Wingdings" w:char="F0F1"/>
                            </w:r>
                            <w:r w:rsidRPr="005A586A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4A4C51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25,3%</w:t>
                            </w:r>
                          </w:p>
                          <w:p w14:paraId="63B3F253" w14:textId="58964EAD" w:rsidR="005C0CAC" w:rsidRPr="005A586A" w:rsidRDefault="004A4C51" w:rsidP="001E18FE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Wzrost liczby ofert pracy</w:t>
                            </w:r>
                            <w:r w:rsidR="005A586A" w:rsidRPr="005A586A"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25,3%  – Wzrost liczby ofert pracy rok do roku" style="position:absolute;margin-left:0;margin-top:3.6pt;width:169.5pt;height:135.8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" fillcolor="#001d77" stroked="f">
                <v:stroke joinstyle="miter"/>
                <v:textbox>
                  <w:txbxContent>
                    <w:p w14:paraId="30951E30" w14:textId="4F553870" w:rsidR="005C0CAC" w:rsidRPr="005A586A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7D4320">
                        <w:rPr>
                          <w:rStyle w:val="IkonawskanikaZnak"/>
                          <w:sz w:val="76"/>
                        </w:rPr>
                        <w:sym w:font="Wingdings" w:char="F0F1"/>
                      </w:r>
                      <w:r w:rsidRPr="005A586A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4A4C51">
                        <w:rPr>
                          <w:rStyle w:val="WartowskanikaZnak"/>
                          <w:sz w:val="72"/>
                          <w:szCs w:val="72"/>
                        </w:rPr>
                        <w:t>25,3%</w:t>
                      </w:r>
                    </w:p>
                    <w:p w14:paraId="63B3F253" w14:textId="58964EAD" w:rsidR="005C0CAC" w:rsidRPr="005A586A" w:rsidRDefault="004A4C51" w:rsidP="001E18FE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>Wzrost liczby ofert pracy</w:t>
                      </w:r>
                      <w:r w:rsidR="005A586A" w:rsidRPr="005A586A">
                        <w:t xml:space="preserve"> r/r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90A6D" w:rsidRPr="00EA78FB">
        <w:br/>
      </w:r>
      <w:r w:rsidR="00EA78FB" w:rsidRPr="00E04394">
        <w:rPr>
          <w:spacing w:val="4"/>
        </w:rPr>
        <w:t xml:space="preserve">W </w:t>
      </w:r>
      <w:r w:rsidR="004A4C51">
        <w:rPr>
          <w:spacing w:val="4"/>
        </w:rPr>
        <w:t>kwietniu</w:t>
      </w:r>
      <w:r w:rsidR="00EA78FB" w:rsidRPr="00E04394">
        <w:rPr>
          <w:spacing w:val="4"/>
        </w:rPr>
        <w:t xml:space="preserve"> 202</w:t>
      </w:r>
      <w:r w:rsidR="005A586A" w:rsidRPr="00E04394">
        <w:rPr>
          <w:spacing w:val="4"/>
        </w:rPr>
        <w:t>2</w:t>
      </w:r>
      <w:r w:rsidR="00EA78FB" w:rsidRPr="00E04394">
        <w:rPr>
          <w:spacing w:val="4"/>
        </w:rPr>
        <w:t xml:space="preserve"> r. odnotowano wzrost przecięt</w:t>
      </w:r>
      <w:r w:rsidR="00E04394">
        <w:rPr>
          <w:spacing w:val="4"/>
        </w:rPr>
        <w:t>-</w:t>
      </w:r>
      <w:r w:rsidR="00EA78FB" w:rsidRPr="00E04394">
        <w:rPr>
          <w:spacing w:val="4"/>
        </w:rPr>
        <w:t>nego zatrudnienia oraz spad</w:t>
      </w:r>
      <w:r w:rsidR="005A586A" w:rsidRPr="00E04394">
        <w:rPr>
          <w:spacing w:val="4"/>
        </w:rPr>
        <w:t>ek liczby bezrobot</w:t>
      </w:r>
      <w:r w:rsidR="00E04394">
        <w:rPr>
          <w:spacing w:val="4"/>
        </w:rPr>
        <w:t>-</w:t>
      </w:r>
      <w:r w:rsidR="005A586A" w:rsidRPr="00E04394">
        <w:rPr>
          <w:spacing w:val="4"/>
        </w:rPr>
        <w:t>nych w stosun</w:t>
      </w:r>
      <w:r w:rsidR="00EA78FB" w:rsidRPr="00E04394">
        <w:rPr>
          <w:spacing w:val="4"/>
        </w:rPr>
        <w:t>ku do analogicznego okresu ubieg</w:t>
      </w:r>
      <w:r w:rsidR="00E04394">
        <w:rPr>
          <w:spacing w:val="4"/>
        </w:rPr>
        <w:t>-</w:t>
      </w:r>
      <w:r w:rsidR="00EA78FB" w:rsidRPr="00E04394">
        <w:rPr>
          <w:spacing w:val="4"/>
        </w:rPr>
        <w:t>łego roku</w:t>
      </w:r>
      <w:r w:rsidR="00EA78FB" w:rsidRPr="00EA78FB">
        <w:t xml:space="preserve">. </w:t>
      </w:r>
      <w:r w:rsidR="002C56B2">
        <w:t>Zarówno</w:t>
      </w:r>
      <w:r w:rsidR="00EA78FB" w:rsidRPr="00EA78FB">
        <w:t xml:space="preserve"> </w:t>
      </w:r>
      <w:r w:rsidR="00EA78FB" w:rsidRPr="00E04394">
        <w:rPr>
          <w:spacing w:val="-4"/>
        </w:rPr>
        <w:t>produkcj</w:t>
      </w:r>
      <w:r w:rsidR="002C56B2">
        <w:rPr>
          <w:spacing w:val="-4"/>
        </w:rPr>
        <w:t>a</w:t>
      </w:r>
      <w:r w:rsidR="00EA78FB" w:rsidRPr="00E04394">
        <w:rPr>
          <w:spacing w:val="-4"/>
        </w:rPr>
        <w:t xml:space="preserve"> </w:t>
      </w:r>
      <w:r w:rsidR="00EA78FB" w:rsidRPr="00EA78FB">
        <w:t>sprzedan</w:t>
      </w:r>
      <w:r w:rsidR="002C56B2">
        <w:t>a</w:t>
      </w:r>
      <w:r w:rsidR="00EA78FB" w:rsidRPr="00EA78FB">
        <w:t xml:space="preserve"> przemy</w:t>
      </w:r>
      <w:r w:rsidR="002C56B2">
        <w:t>-</w:t>
      </w:r>
      <w:r w:rsidR="00EA78FB" w:rsidRPr="00EA78FB">
        <w:t xml:space="preserve">słu </w:t>
      </w:r>
      <w:r w:rsidR="002C56B2">
        <w:t>jak i</w:t>
      </w:r>
      <w:r w:rsidR="005A586A">
        <w:t xml:space="preserve"> </w:t>
      </w:r>
      <w:r w:rsidR="005A586A" w:rsidRPr="00EA78FB">
        <w:t>produkcj</w:t>
      </w:r>
      <w:r w:rsidR="002C56B2">
        <w:t>a</w:t>
      </w:r>
      <w:r w:rsidR="005A586A" w:rsidRPr="00EA78FB">
        <w:t xml:space="preserve"> budowlano-montażow</w:t>
      </w:r>
      <w:r w:rsidR="002C56B2">
        <w:t>a były wyższe niż rok wcześniej</w:t>
      </w:r>
      <w:r w:rsidR="00EA78FB" w:rsidRPr="00E04394">
        <w:rPr>
          <w:spacing w:val="-4"/>
        </w:rPr>
        <w:t xml:space="preserve">. </w:t>
      </w:r>
      <w:r w:rsidR="002C56B2">
        <w:rPr>
          <w:spacing w:val="-4"/>
        </w:rPr>
        <w:t xml:space="preserve">Wzrost do kwietnia ubieg-łego roku odnotowały </w:t>
      </w:r>
      <w:r w:rsidR="005A586A">
        <w:t xml:space="preserve">sprzedaż </w:t>
      </w:r>
      <w:r w:rsidR="00EA78FB" w:rsidRPr="00EA78FB">
        <w:t>detaliczn</w:t>
      </w:r>
      <w:r w:rsidR="005A586A">
        <w:t>a</w:t>
      </w:r>
      <w:r w:rsidR="00EA78FB" w:rsidRPr="00EA78FB">
        <w:t xml:space="preserve"> </w:t>
      </w:r>
      <w:r w:rsidR="005A586A">
        <w:t>i</w:t>
      </w:r>
      <w:r w:rsidR="00EA78FB" w:rsidRPr="00EA78FB">
        <w:t xml:space="preserve"> hurto</w:t>
      </w:r>
      <w:r w:rsidR="002C56B2">
        <w:t>-</w:t>
      </w:r>
      <w:r w:rsidR="00EA78FB" w:rsidRPr="00EA78FB">
        <w:t>w</w:t>
      </w:r>
      <w:r w:rsidR="005A586A">
        <w:t>a</w:t>
      </w:r>
      <w:r w:rsidR="00EA78FB" w:rsidRPr="00EA78FB">
        <w:t xml:space="preserve">. </w:t>
      </w:r>
      <w:r w:rsidR="002C56B2">
        <w:t>Kwiecień</w:t>
      </w:r>
      <w:r w:rsidR="009F2EB0">
        <w:t xml:space="preserve"> </w:t>
      </w:r>
      <w:r w:rsidR="00EA78FB" w:rsidRPr="00EA78FB">
        <w:t xml:space="preserve">charakteryzował się </w:t>
      </w:r>
      <w:r w:rsidR="009F2EB0">
        <w:t>wyż</w:t>
      </w:r>
      <w:r w:rsidR="00EA78FB" w:rsidRPr="00EA78FB">
        <w:t>sz</w:t>
      </w:r>
      <w:r w:rsidR="002C09DD">
        <w:t>ą niż rok wcześniej liczbą miesz</w:t>
      </w:r>
      <w:r w:rsidR="00EA78FB" w:rsidRPr="00EA78FB">
        <w:t>kań oddanych do użytko</w:t>
      </w:r>
      <w:r w:rsidR="003421EB">
        <w:t>wa</w:t>
      </w:r>
      <w:r w:rsidR="002C56B2">
        <w:t>-</w:t>
      </w:r>
      <w:r w:rsidR="003421EB">
        <w:t xml:space="preserve">nia oraz </w:t>
      </w:r>
      <w:r w:rsidR="002C56B2" w:rsidRPr="00EA78FB">
        <w:t xml:space="preserve">wydanych pozwoleń </w:t>
      </w:r>
      <w:r w:rsidR="002C56B2">
        <w:t>i mniejszą</w:t>
      </w:r>
      <w:r w:rsidR="002C56B2" w:rsidRPr="00EA78FB">
        <w:t xml:space="preserve"> </w:t>
      </w:r>
      <w:r w:rsidR="00EA78FB" w:rsidRPr="00EA78FB">
        <w:t>rozpoczę</w:t>
      </w:r>
      <w:r w:rsidR="002C56B2">
        <w:t>-</w:t>
      </w:r>
      <w:r w:rsidR="00EA78FB" w:rsidRPr="00EA78FB">
        <w:t>tych budów.</w:t>
      </w:r>
      <w:r w:rsidR="00DE6B58" w:rsidRPr="00EA78FB">
        <w:t xml:space="preserve"> </w:t>
      </w:r>
    </w:p>
    <w:p w14:paraId="3DB10F9F" w14:textId="2E50D08A" w:rsidR="00E95B8E" w:rsidRPr="00DC7CD3" w:rsidRDefault="000647A9" w:rsidP="001E18FE">
      <w:pPr>
        <w:pStyle w:val="Nagwek1"/>
        <w:rPr>
          <w:rFonts w:ascii="Fira Sans" w:hAnsi="Fira Sans"/>
          <w:b/>
          <w:szCs w:val="19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33B06513">
                <wp:simplePos x="0" y="0"/>
                <wp:positionH relativeFrom="column">
                  <wp:posOffset>5278755</wp:posOffset>
                </wp:positionH>
                <wp:positionV relativeFrom="paragraph">
                  <wp:posOffset>165100</wp:posOffset>
                </wp:positionV>
                <wp:extent cx="1725295" cy="1086485"/>
                <wp:effectExtent l="0" t="0" r="0" b="0"/>
                <wp:wrapTight wrapText="bothSides">
                  <wp:wrapPolygon edited="0">
                    <wp:start x="715" y="0"/>
                    <wp:lineTo x="715" y="21209"/>
                    <wp:lineTo x="20749" y="21209"/>
                    <wp:lineTo x="20749" y="0"/>
                    <wp:lineTo x="715" y="0"/>
                  </wp:wrapPolygon>
                </wp:wrapTight>
                <wp:docPr id="2" name="Pole tekstowe 2" descr="Przeciętne zatrudnienie w sektorze przedsiębiorstw w kwietniu 2022 r. było o 3,1% większe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86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19CC1324" w:rsidR="00D616D2" w:rsidRPr="00DC7CD3" w:rsidRDefault="00DC7CD3" w:rsidP="003C4A76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 w:rsidRPr="00DC7CD3">
                              <w:t xml:space="preserve">Przeciętne zatrudnienie </w:t>
                            </w:r>
                            <w:r w:rsidR="009F3716">
                              <w:br/>
                            </w:r>
                            <w:r w:rsidRPr="00DC7CD3">
                              <w:t xml:space="preserve">w sektorze przedsiębiorstw </w:t>
                            </w:r>
                            <w:r w:rsidR="009F3716">
                              <w:br/>
                            </w:r>
                            <w:r w:rsidRPr="00DC7CD3">
                              <w:t xml:space="preserve">w </w:t>
                            </w:r>
                            <w:r w:rsidR="003304BF">
                              <w:t>kwietniu</w:t>
                            </w:r>
                            <w:r w:rsidRPr="00DC7CD3">
                              <w:t xml:space="preserve"> 202</w:t>
                            </w:r>
                            <w:r w:rsidR="009F3716">
                              <w:t>2</w:t>
                            </w:r>
                            <w:r w:rsidRPr="00DC7CD3">
                              <w:t xml:space="preserve"> r. było </w:t>
                            </w:r>
                            <w:r w:rsidR="003304BF">
                              <w:br/>
                            </w:r>
                            <w:r w:rsidRPr="00DC7CD3">
                              <w:t xml:space="preserve">o </w:t>
                            </w:r>
                            <w:r w:rsidR="003304BF">
                              <w:t>3,1</w:t>
                            </w:r>
                            <w:r w:rsidRPr="00DC7CD3">
                              <w:t>% większe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Tytuł: Istotna informacja — opis: Przeciętne zatrudnienie w sektorze przedsiębiorstw w kwietniu 2022 r. było o 3,1% większe niż przed rokiem" style="position:absolute;margin-left:415.65pt;margin-top:13pt;width:135.85pt;height:85.5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" filled="f" stroked="f">
                <v:textbox>
                  <w:txbxContent>
                    <w:p w14:paraId="66113316" w14:textId="19CC1324" w:rsidR="00D616D2" w:rsidRPr="00DC7CD3" w:rsidRDefault="00DC7CD3" w:rsidP="003C4A76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 w:rsidRPr="00DC7CD3">
                        <w:t xml:space="preserve">Przeciętne zatrudnienie </w:t>
                      </w:r>
                      <w:r w:rsidR="009F3716">
                        <w:br/>
                      </w:r>
                      <w:r w:rsidRPr="00DC7CD3">
                        <w:t xml:space="preserve">w sektorze przedsiębiorstw </w:t>
                      </w:r>
                      <w:r w:rsidR="009F3716">
                        <w:br/>
                      </w:r>
                      <w:r w:rsidRPr="00DC7CD3">
                        <w:t xml:space="preserve">w </w:t>
                      </w:r>
                      <w:r w:rsidR="003304BF">
                        <w:t>kwietniu</w:t>
                      </w:r>
                      <w:r w:rsidRPr="00DC7CD3">
                        <w:t xml:space="preserve"> 202</w:t>
                      </w:r>
                      <w:r w:rsidR="009F3716">
                        <w:t>2</w:t>
                      </w:r>
                      <w:r w:rsidRPr="00DC7CD3">
                        <w:t xml:space="preserve"> r. było </w:t>
                      </w:r>
                      <w:r w:rsidR="003304BF">
                        <w:br/>
                      </w:r>
                      <w:r w:rsidRPr="00DC7CD3">
                        <w:t xml:space="preserve">o </w:t>
                      </w:r>
                      <w:r w:rsidR="003304BF">
                        <w:t>3,1</w:t>
                      </w:r>
                      <w:r w:rsidRPr="00DC7CD3">
                        <w:t>% większe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C7CD3" w:rsidRPr="00DC7CD3">
        <w:rPr>
          <w:rFonts w:ascii="Fira Sans" w:hAnsi="Fira Sans"/>
          <w:b/>
          <w:szCs w:val="19"/>
        </w:rPr>
        <w:t>Przeciętne zatrudnienie</w:t>
      </w:r>
    </w:p>
    <w:p w14:paraId="16FAC62B" w14:textId="608C7CE1" w:rsidR="00DC7CD3" w:rsidRPr="00DC7CD3" w:rsidRDefault="00B47661" w:rsidP="00DC7CD3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B47661">
        <w:rPr>
          <w:rFonts w:eastAsia="Times New Roman" w:cs="Times New Roman"/>
          <w:szCs w:val="19"/>
          <w:lang w:eastAsia="pl-PL"/>
        </w:rPr>
        <w:t xml:space="preserve">Przeciętne zatrudnienie w sektorze przedsiębiorstw w kwietniu 2022 r. wyniosło 1114,7 tys. osób i ukształtowało się na poziomie zbliżonym do marca 2022 r. oraz było o 33,3 tys. osób, </w:t>
      </w:r>
      <w:r w:rsidR="003304BF">
        <w:rPr>
          <w:rFonts w:eastAsia="Times New Roman" w:cs="Times New Roman"/>
          <w:szCs w:val="19"/>
          <w:lang w:eastAsia="pl-PL"/>
        </w:rPr>
        <w:br/>
      </w:r>
      <w:r w:rsidRPr="00B47661">
        <w:rPr>
          <w:rFonts w:eastAsia="Times New Roman" w:cs="Times New Roman"/>
          <w:szCs w:val="19"/>
          <w:lang w:eastAsia="pl-PL"/>
        </w:rPr>
        <w:t>tj</w:t>
      </w:r>
      <w:r>
        <w:rPr>
          <w:rFonts w:eastAsia="Times New Roman" w:cs="Times New Roman"/>
          <w:szCs w:val="19"/>
          <w:lang w:eastAsia="pl-PL"/>
        </w:rPr>
        <w:t xml:space="preserve">. o 3,1% większe niż w </w:t>
      </w:r>
      <w:r w:rsidRPr="00B47661">
        <w:rPr>
          <w:rFonts w:eastAsia="Times New Roman" w:cs="Times New Roman"/>
          <w:szCs w:val="19"/>
          <w:lang w:eastAsia="pl-PL"/>
        </w:rPr>
        <w:t>kwietniu 2021 r.</w:t>
      </w:r>
    </w:p>
    <w:p w14:paraId="2D911379" w14:textId="5321D00F" w:rsidR="00DC7CD3" w:rsidRPr="00B7035D" w:rsidRDefault="00B47661" w:rsidP="00B7035D">
      <w:pPr>
        <w:spacing w:line="288" w:lineRule="auto"/>
        <w:rPr>
          <w:rFonts w:eastAsia="Times New Roman" w:cs="Times New Roman"/>
          <w:spacing w:val="-6"/>
          <w:szCs w:val="19"/>
          <w:lang w:eastAsia="pl-PL"/>
        </w:rPr>
      </w:pPr>
      <w:r w:rsidRPr="00B7035D">
        <w:rPr>
          <w:rFonts w:eastAsia="Times New Roman" w:cs="Times New Roman"/>
          <w:spacing w:val="-6"/>
          <w:szCs w:val="19"/>
          <w:lang w:eastAsia="pl-PL"/>
        </w:rPr>
        <w:t xml:space="preserve">W porównaniu z marcem 2022 r. wzrost przeciętnego zatrudnienia odnotowano w sekcjach: działalność profesjonalna, naukowa i techniczna (o 0,6%), przemysł (o 0,4%), transport i gospodarka magazynowa (o 0,2%), obsługa rynku nieruchomości </w:t>
      </w:r>
      <w:r w:rsidR="003304BF" w:rsidRPr="00B7035D">
        <w:rPr>
          <w:rFonts w:eastAsia="Times New Roman" w:cs="Times New Roman"/>
          <w:spacing w:val="-6"/>
          <w:szCs w:val="19"/>
          <w:lang w:eastAsia="pl-PL"/>
        </w:rPr>
        <w:t>oraz</w:t>
      </w:r>
      <w:r w:rsidRPr="00B7035D">
        <w:rPr>
          <w:rFonts w:eastAsia="Times New Roman" w:cs="Times New Roman"/>
          <w:spacing w:val="-6"/>
          <w:szCs w:val="19"/>
          <w:lang w:eastAsia="pl-PL"/>
        </w:rPr>
        <w:t xml:space="preserve"> zakwaterowanie i gastronomia (</w:t>
      </w:r>
      <w:r w:rsidR="003304BF" w:rsidRPr="00B7035D">
        <w:rPr>
          <w:rFonts w:eastAsia="Times New Roman" w:cs="Times New Roman"/>
          <w:spacing w:val="-6"/>
          <w:szCs w:val="19"/>
          <w:lang w:eastAsia="pl-PL"/>
        </w:rPr>
        <w:t>p</w:t>
      </w:r>
      <w:r w:rsidRPr="00B7035D">
        <w:rPr>
          <w:rFonts w:eastAsia="Times New Roman" w:cs="Times New Roman"/>
          <w:spacing w:val="-6"/>
          <w:szCs w:val="19"/>
          <w:lang w:eastAsia="pl-PL"/>
        </w:rPr>
        <w:t>o 0,1%).</w:t>
      </w:r>
    </w:p>
    <w:p w14:paraId="6189446F" w14:textId="089F9F61" w:rsidR="00DE6B58" w:rsidRPr="003C4A76" w:rsidRDefault="00B47661" w:rsidP="003C4A76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B47661">
        <w:rPr>
          <w:rFonts w:eastAsia="Times New Roman" w:cs="Times New Roman"/>
          <w:szCs w:val="19"/>
          <w:lang w:eastAsia="pl-PL"/>
        </w:rPr>
        <w:t xml:space="preserve">Natomiast spadek przeciętnego zatrudnienia wystąpił w sekcjach: administrowanie i działalność wspierająca (o 0,7%), handel; naprawa pojazdów samochodowych (o 0,3%), informacja </w:t>
      </w:r>
      <w:r w:rsidR="003304BF">
        <w:rPr>
          <w:rFonts w:eastAsia="Times New Roman" w:cs="Times New Roman"/>
          <w:szCs w:val="19"/>
          <w:lang w:eastAsia="pl-PL"/>
        </w:rPr>
        <w:br/>
      </w:r>
      <w:r w:rsidRPr="00B47661">
        <w:rPr>
          <w:rFonts w:eastAsia="Times New Roman" w:cs="Times New Roman"/>
          <w:szCs w:val="19"/>
          <w:lang w:eastAsia="pl-PL"/>
        </w:rPr>
        <w:t>i komunikacja (o 0,2%).</w:t>
      </w:r>
    </w:p>
    <w:p w14:paraId="3E25DCC4" w14:textId="685CC128" w:rsidR="000A36CE" w:rsidRPr="00215211" w:rsidRDefault="00417654" w:rsidP="001E18FE">
      <w:pPr>
        <w:pStyle w:val="Tytuwykresu0"/>
        <w:spacing w:line="240" w:lineRule="auto"/>
        <w:rPr>
          <w:rFonts w:ascii="Fira Sans" w:hAnsi="Fira Sans"/>
        </w:rPr>
      </w:pPr>
      <w:r w:rsidRPr="00417654">
        <w:rPr>
          <w:szCs w:val="19"/>
        </w:rPr>
        <w:drawing>
          <wp:anchor distT="0" distB="0" distL="114300" distR="114300" simplePos="0" relativeHeight="251813888" behindDoc="0" locked="0" layoutInCell="1" allowOverlap="1" wp14:anchorId="5FADE413" wp14:editId="04FCE098">
            <wp:simplePos x="0" y="0"/>
            <wp:positionH relativeFrom="column">
              <wp:posOffset>595222</wp:posOffset>
            </wp:positionH>
            <wp:positionV relativeFrom="paragraph">
              <wp:posOffset>374015</wp:posOffset>
            </wp:positionV>
            <wp:extent cx="4227195" cy="2898775"/>
            <wp:effectExtent l="0" t="0" r="1905" b="0"/>
            <wp:wrapTopAndBottom/>
            <wp:docPr id="16" name="Obraz 16" descr="Na wykresie słupkowym przedstawiono strukturę przeciętnego zatrudnienia według sekcji PKD w kwietniu 2022 roku. Dane do wykresu dostępne są w załączonym pliku excel." title="Wykres 1. Struktura przeciętnego zatrudnienia według sekcji PKD w kwietniu 2022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oje dokumenty\Publikacje\Sygnalne\Statystyka Warszawy\2022\04\wykresy\zatrudnienie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195" cy="289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36CE" w:rsidRPr="00215211">
        <w:rPr>
          <w:rFonts w:ascii="Fira Sans" w:hAnsi="Fira Sans"/>
        </w:rPr>
        <w:t xml:space="preserve">Wykres 1. Struktura przeciętnego zatrudnienia według sekcji PKD w </w:t>
      </w:r>
      <w:r w:rsidR="003304BF">
        <w:rPr>
          <w:rFonts w:ascii="Fira Sans" w:hAnsi="Fira Sans"/>
        </w:rPr>
        <w:t>kwietniu</w:t>
      </w:r>
      <w:r w:rsidR="007863C0">
        <w:rPr>
          <w:rFonts w:ascii="Fira Sans" w:hAnsi="Fira Sans"/>
        </w:rPr>
        <w:t xml:space="preserve"> </w:t>
      </w:r>
      <w:r w:rsidR="000A36CE" w:rsidRPr="00215211">
        <w:rPr>
          <w:rFonts w:ascii="Fira Sans" w:hAnsi="Fira Sans"/>
        </w:rPr>
        <w:t>202</w:t>
      </w:r>
      <w:r w:rsidR="00CA337A" w:rsidRPr="00215211">
        <w:rPr>
          <w:rFonts w:ascii="Fira Sans" w:hAnsi="Fira Sans"/>
        </w:rPr>
        <w:t>2</w:t>
      </w:r>
      <w:r w:rsidR="000A36CE" w:rsidRPr="00215211">
        <w:rPr>
          <w:rFonts w:ascii="Fira Sans" w:hAnsi="Fira Sans"/>
        </w:rPr>
        <w:t xml:space="preserve"> r.</w:t>
      </w:r>
    </w:p>
    <w:p w14:paraId="16EA817E" w14:textId="48726A17" w:rsidR="00CA337A" w:rsidRDefault="00CA337A" w:rsidP="000A36CE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427789AA" w14:textId="360DAC7B" w:rsidR="000A36CE" w:rsidRPr="00B7035D" w:rsidRDefault="00B47661" w:rsidP="00B7035D">
      <w:pPr>
        <w:spacing w:line="288" w:lineRule="auto"/>
        <w:rPr>
          <w:rFonts w:eastAsia="Times New Roman" w:cs="Times New Roman"/>
          <w:spacing w:val="-6"/>
          <w:szCs w:val="19"/>
          <w:lang w:eastAsia="pl-PL"/>
        </w:rPr>
      </w:pPr>
      <w:r w:rsidRPr="00B7035D">
        <w:rPr>
          <w:rFonts w:eastAsia="Times New Roman" w:cs="Times New Roman"/>
          <w:spacing w:val="-6"/>
          <w:szCs w:val="19"/>
          <w:lang w:eastAsia="pl-PL"/>
        </w:rPr>
        <w:t xml:space="preserve">W stosunku do kwietnia 2021 r. wzrost przeciętnego zatrudnienia odnotowano w sekcjach: zakwaterowanie i gastronomia (o 12,2%), informacja i komunikacja (o 9,4%), działalność profesjonalna, naukowa i techniczna (o 9,3%), handel; naprawa pojazdów samochodowych (o 3,1%), budownictwo </w:t>
      </w:r>
      <w:r w:rsidR="00B7035D" w:rsidRPr="00B7035D">
        <w:rPr>
          <w:rFonts w:eastAsia="Times New Roman" w:cs="Times New Roman"/>
          <w:spacing w:val="-6"/>
          <w:szCs w:val="19"/>
          <w:lang w:eastAsia="pl-PL"/>
        </w:rPr>
        <w:br/>
      </w:r>
      <w:r w:rsidRPr="00B7035D">
        <w:rPr>
          <w:rFonts w:eastAsia="Times New Roman" w:cs="Times New Roman"/>
          <w:spacing w:val="-6"/>
          <w:szCs w:val="19"/>
          <w:lang w:eastAsia="pl-PL"/>
        </w:rPr>
        <w:lastRenderedPageBreak/>
        <w:t xml:space="preserve">(o 1,8%), administrowanie i działalność wspierająca </w:t>
      </w:r>
      <w:r w:rsidR="003304BF" w:rsidRPr="00B7035D">
        <w:rPr>
          <w:rFonts w:eastAsia="Times New Roman" w:cs="Times New Roman"/>
          <w:spacing w:val="-6"/>
          <w:szCs w:val="19"/>
          <w:lang w:eastAsia="pl-PL"/>
        </w:rPr>
        <w:t>oraz</w:t>
      </w:r>
      <w:r w:rsidRPr="00B7035D">
        <w:rPr>
          <w:rFonts w:eastAsia="Times New Roman" w:cs="Times New Roman"/>
          <w:spacing w:val="-6"/>
          <w:szCs w:val="19"/>
          <w:lang w:eastAsia="pl-PL"/>
        </w:rPr>
        <w:t xml:space="preserve"> przemysł (</w:t>
      </w:r>
      <w:r w:rsidR="003304BF" w:rsidRPr="00B7035D">
        <w:rPr>
          <w:rFonts w:eastAsia="Times New Roman" w:cs="Times New Roman"/>
          <w:spacing w:val="-6"/>
          <w:szCs w:val="19"/>
          <w:lang w:eastAsia="pl-PL"/>
        </w:rPr>
        <w:t>p</w:t>
      </w:r>
      <w:r w:rsidRPr="00B7035D">
        <w:rPr>
          <w:rFonts w:eastAsia="Times New Roman" w:cs="Times New Roman"/>
          <w:spacing w:val="-6"/>
          <w:szCs w:val="19"/>
          <w:lang w:eastAsia="pl-PL"/>
        </w:rPr>
        <w:t>o 0,4%), transport i gospodarka magazynowa (o 0,3%).</w:t>
      </w:r>
    </w:p>
    <w:p w14:paraId="12FC6728" w14:textId="391705B8" w:rsidR="000A36CE" w:rsidRPr="009E265D" w:rsidRDefault="00B47661" w:rsidP="009E265D">
      <w:pPr>
        <w:spacing w:line="288" w:lineRule="auto"/>
        <w:rPr>
          <w:rFonts w:eastAsia="Times New Roman" w:cs="Times New Roman"/>
          <w:spacing w:val="-4"/>
          <w:szCs w:val="19"/>
          <w:lang w:eastAsia="pl-PL"/>
        </w:rPr>
      </w:pPr>
      <w:r w:rsidRPr="00B47661">
        <w:rPr>
          <w:rFonts w:eastAsia="Times New Roman" w:cs="Times New Roman"/>
          <w:spacing w:val="-4"/>
          <w:szCs w:val="19"/>
          <w:lang w:eastAsia="pl-PL"/>
        </w:rPr>
        <w:t>Spadek przeciętnego zatrudnienia wystąpił w sekcji obsługa rynku nieruchomości (o 0,6%).</w:t>
      </w:r>
    </w:p>
    <w:p w14:paraId="31EB7324" w14:textId="0260EB73" w:rsidR="00DA331D" w:rsidRPr="000A36CE" w:rsidRDefault="000A36CE" w:rsidP="00676713">
      <w:pPr>
        <w:pStyle w:val="Nagwek1"/>
        <w:rPr>
          <w:rFonts w:ascii="Fira Sans" w:hAnsi="Fira Sans"/>
          <w:b/>
          <w:szCs w:val="19"/>
        </w:rPr>
      </w:pPr>
      <w:r w:rsidRPr="00461CC6">
        <w:rPr>
          <w:rFonts w:ascii="Fira Sans" w:hAnsi="Fira Sans"/>
          <w:b/>
        </w:rPr>
        <w:t>Bezrobocie</w:t>
      </w:r>
      <w:r w:rsidRPr="000A36CE">
        <w:t xml:space="preserve"> </w:t>
      </w:r>
      <w:r w:rsidRPr="00461CC6">
        <w:rPr>
          <w:rFonts w:ascii="Fira Sans" w:hAnsi="Fira Sans"/>
          <w:b/>
        </w:rPr>
        <w:t>rejestrowane</w:t>
      </w:r>
    </w:p>
    <w:p w14:paraId="512A5A5F" w14:textId="56F24A58" w:rsidR="00D972F6" w:rsidRPr="000443E6" w:rsidRDefault="003C4A76" w:rsidP="000443E6">
      <w:pPr>
        <w:spacing w:line="288" w:lineRule="auto"/>
        <w:rPr>
          <w:noProof/>
          <w:spacing w:val="-2"/>
          <w:shd w:val="clear" w:color="auto" w:fill="FFFFFF"/>
          <w:lang w:eastAsia="pl-PL"/>
        </w:rPr>
      </w:pPr>
      <w:r w:rsidRPr="000443E6">
        <w:rPr>
          <w:noProof/>
          <w:spacing w:val="-2"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6CC137A9" wp14:editId="2F504DC8">
                <wp:simplePos x="0" y="0"/>
                <wp:positionH relativeFrom="column">
                  <wp:posOffset>5278755</wp:posOffset>
                </wp:positionH>
                <wp:positionV relativeFrom="paragraph">
                  <wp:posOffset>352761</wp:posOffset>
                </wp:positionV>
                <wp:extent cx="1725295" cy="1163955"/>
                <wp:effectExtent l="0" t="0" r="0" b="0"/>
                <wp:wrapTight wrapText="bothSides">
                  <wp:wrapPolygon edited="0">
                    <wp:start x="715" y="0"/>
                    <wp:lineTo x="715" y="21211"/>
                    <wp:lineTo x="20749" y="21211"/>
                    <wp:lineTo x="20749" y="0"/>
                    <wp:lineTo x="715" y="0"/>
                  </wp:wrapPolygon>
                </wp:wrapTight>
                <wp:docPr id="3" name="Pole tekstowe 3" descr="W końcu marca 2022 r. liczba zarejestrowanych bezrobotnych osób była o 9,3% mniejsza niż przed rokiem, a stopa bezrobocia była o 0,2 p. proc. niższa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63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C8F2E" w14:textId="75E10F16" w:rsidR="00D47641" w:rsidRPr="000A42BD" w:rsidRDefault="00D47641" w:rsidP="003C4A76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 w:rsidRPr="00D47641">
                              <w:t xml:space="preserve">W końcu </w:t>
                            </w:r>
                            <w:r w:rsidR="003304BF">
                              <w:t>kwietnia</w:t>
                            </w:r>
                            <w:r w:rsidRPr="00D47641">
                              <w:t xml:space="preserve"> 202</w:t>
                            </w:r>
                            <w:r w:rsidR="0095659D">
                              <w:t>2</w:t>
                            </w:r>
                            <w:r w:rsidRPr="00D47641">
                              <w:t xml:space="preserve"> r. l</w:t>
                            </w:r>
                            <w:r>
                              <w:t>iczba zarejestrowanych bezrobot</w:t>
                            </w:r>
                            <w:r w:rsidRPr="00D47641">
                              <w:t xml:space="preserve">nych osób była o </w:t>
                            </w:r>
                            <w:r w:rsidR="007C3E1E">
                              <w:t>9,</w:t>
                            </w:r>
                            <w:r w:rsidR="003304BF">
                              <w:t>2</w:t>
                            </w:r>
                            <w:r w:rsidR="0095659D">
                              <w:t>% mniej</w:t>
                            </w:r>
                            <w:r w:rsidRPr="00D47641">
                              <w:t xml:space="preserve">sza niż przed rokiem, </w:t>
                            </w:r>
                            <w:r w:rsidR="0095659D">
                              <w:br/>
                            </w:r>
                            <w:r w:rsidRPr="00D47641">
                              <w:t xml:space="preserve">a stopa bezrobocia </w:t>
                            </w:r>
                            <w:r w:rsidR="0095659D">
                              <w:t xml:space="preserve">była </w:t>
                            </w:r>
                            <w:r w:rsidR="00EE6E49">
                              <w:br/>
                            </w:r>
                            <w:r w:rsidR="0095659D">
                              <w:t>o 0,</w:t>
                            </w:r>
                            <w:r w:rsidR="007C3E1E">
                              <w:t xml:space="preserve">2 </w:t>
                            </w:r>
                            <w:r w:rsidR="0095659D">
                              <w:t>p</w:t>
                            </w:r>
                            <w:r w:rsidR="00EE6E49">
                              <w:t>.</w:t>
                            </w:r>
                            <w:r w:rsidR="0095659D">
                              <w:t xml:space="preserve"> proc. niższa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C137A9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8" type="#_x0000_t202" alt="Tytuł: Istotna informacja — opis: W końcu marca 2022 r. liczba zarejestrowanych bezrobotnych osób była o 9,3% mniejsza niż przed rokiem, a stopa bezrobocia była o 0,2 p. proc. niższa" style="position:absolute;margin-left:415.65pt;margin-top:27.8pt;width:135.85pt;height:91.65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" filled="f" stroked="f">
                <v:textbox>
                  <w:txbxContent>
                    <w:p w14:paraId="28FC8F2E" w14:textId="75E10F16" w:rsidR="00D47641" w:rsidRPr="000A42BD" w:rsidRDefault="00D47641" w:rsidP="003C4A76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 w:rsidRPr="00D47641">
                        <w:t xml:space="preserve">W końcu </w:t>
                      </w:r>
                      <w:r w:rsidR="003304BF">
                        <w:t>kwietnia</w:t>
                      </w:r>
                      <w:r w:rsidRPr="00D47641">
                        <w:t xml:space="preserve"> 202</w:t>
                      </w:r>
                      <w:r w:rsidR="0095659D">
                        <w:t>2</w:t>
                      </w:r>
                      <w:r w:rsidRPr="00D47641">
                        <w:t xml:space="preserve"> r. l</w:t>
                      </w:r>
                      <w:r>
                        <w:t>iczba zarejestrowanych bezrobot</w:t>
                      </w:r>
                      <w:r w:rsidRPr="00D47641">
                        <w:t xml:space="preserve">nych osób była o </w:t>
                      </w:r>
                      <w:r w:rsidR="007C3E1E">
                        <w:t>9,</w:t>
                      </w:r>
                      <w:r w:rsidR="003304BF">
                        <w:t>2</w:t>
                      </w:r>
                      <w:r w:rsidR="0095659D">
                        <w:t>% mniej</w:t>
                      </w:r>
                      <w:r w:rsidRPr="00D47641">
                        <w:t xml:space="preserve">sza niż przed rokiem, </w:t>
                      </w:r>
                      <w:r w:rsidR="0095659D">
                        <w:br/>
                      </w:r>
                      <w:r w:rsidRPr="00D47641">
                        <w:t xml:space="preserve">a stopa bezrobocia </w:t>
                      </w:r>
                      <w:r w:rsidR="0095659D">
                        <w:t xml:space="preserve">była </w:t>
                      </w:r>
                      <w:r w:rsidR="00EE6E49">
                        <w:br/>
                      </w:r>
                      <w:r w:rsidR="0095659D">
                        <w:t>o 0,</w:t>
                      </w:r>
                      <w:r w:rsidR="007C3E1E">
                        <w:t xml:space="preserve">2 </w:t>
                      </w:r>
                      <w:r w:rsidR="0095659D">
                        <w:t>p</w:t>
                      </w:r>
                      <w:r w:rsidR="00EE6E49">
                        <w:t>.</w:t>
                      </w:r>
                      <w:r w:rsidR="0095659D">
                        <w:t xml:space="preserve"> proc. niższa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B487D" w:rsidRPr="00BB487D">
        <w:rPr>
          <w:noProof/>
          <w:spacing w:val="-2"/>
          <w:shd w:val="clear" w:color="auto" w:fill="FFFFFF"/>
          <w:lang w:eastAsia="pl-PL"/>
        </w:rPr>
        <w:t xml:space="preserve">W końcu kwietnia 2022 r. liczba zarejestrowanych bezrobotnych wyniosła 24344 osoby i była </w:t>
      </w:r>
      <w:r w:rsidR="003304BF">
        <w:rPr>
          <w:noProof/>
          <w:spacing w:val="-2"/>
          <w:shd w:val="clear" w:color="auto" w:fill="FFFFFF"/>
          <w:lang w:eastAsia="pl-PL"/>
        </w:rPr>
        <w:br/>
      </w:r>
      <w:r w:rsidR="00BB487D" w:rsidRPr="00BB487D">
        <w:rPr>
          <w:noProof/>
          <w:spacing w:val="-2"/>
          <w:shd w:val="clear" w:color="auto" w:fill="FFFFFF"/>
          <w:lang w:eastAsia="pl-PL"/>
        </w:rPr>
        <w:t>o 342 osoby, tj. o 1,4% większa niż w końcu marca 2022 r. oraz o 2476 osób, tj. o 9,2% mniejsza niż w analogicznym okresie 2021 r.</w:t>
      </w:r>
    </w:p>
    <w:p w14:paraId="32D62F83" w14:textId="171EF98F" w:rsidR="00DA331D" w:rsidRPr="009E265D" w:rsidRDefault="00BB487D" w:rsidP="009E265D">
      <w:pPr>
        <w:spacing w:line="288" w:lineRule="auto"/>
        <w:rPr>
          <w:spacing w:val="-2"/>
          <w:shd w:val="clear" w:color="auto" w:fill="FFFFFF"/>
        </w:rPr>
      </w:pPr>
      <w:r w:rsidRPr="00BB487D">
        <w:rPr>
          <w:spacing w:val="-2"/>
        </w:rPr>
        <w:t>Liczba zarejestrowanych bezrobotnych kobiet wyniosła 12223, co stanowiło 50,2% ogółu bezrobotnych (przed miesiącem 48,7%, a przed rokiem 48,8%) i 18,6% bezrobotnych kobiet w województwie mazowieckim. W stosunku do marca 2022 r. liczba bezrobotnych kobiet zwiększyła się o 537 osób, tj. o 4,6%, a w stosunku do kwietnia 2021 r. zmniejszyła się o 857 osób, tj. o 6,6%.</w:t>
      </w:r>
    </w:p>
    <w:p w14:paraId="529888BD" w14:textId="1D9912FA" w:rsidR="000A42BD" w:rsidRPr="000443E6" w:rsidRDefault="00BB487D" w:rsidP="000443E6">
      <w:pPr>
        <w:spacing w:line="288" w:lineRule="auto"/>
        <w:rPr>
          <w:rFonts w:eastAsia="Calibri" w:cs="Arial"/>
          <w:spacing w:val="-8"/>
          <w:szCs w:val="19"/>
        </w:rPr>
      </w:pPr>
      <w:r w:rsidRPr="00BB487D">
        <w:rPr>
          <w:rFonts w:eastAsia="Calibri" w:cs="Arial"/>
          <w:spacing w:val="-8"/>
          <w:szCs w:val="19"/>
        </w:rPr>
        <w:t>Stopa bezrobocia rejestrowanego wynosiła 1,8% (tak jak przed miesiącem, a przed rokiem 2,0%), średnia w województwie mazowieckim kształtowała się na poziomie 4,5% (4,6% przed miesiącem, a przed rokiem 5,2%), natomiast w kraju na poziomie 5,2% (5,4% przed miesiącem, a przed rokiem 6,3%).</w:t>
      </w:r>
    </w:p>
    <w:p w14:paraId="02DB5759" w14:textId="4123142B" w:rsidR="002C09DD" w:rsidRPr="002C09DD" w:rsidRDefault="00BB487D" w:rsidP="002C09DD">
      <w:pPr>
        <w:spacing w:line="288" w:lineRule="auto"/>
        <w:rPr>
          <w:rFonts w:eastAsia="Calibri" w:cs="Arial"/>
          <w:szCs w:val="19"/>
        </w:rPr>
      </w:pPr>
      <w:r w:rsidRPr="00BB487D">
        <w:rPr>
          <w:rFonts w:eastAsia="Calibri" w:cs="Arial"/>
          <w:szCs w:val="19"/>
        </w:rPr>
        <w:t>W kwietniu 2022 r. w urzędach pracy zarejestrowano 2914 osób bezrobotnych (2512 w marcu 2022 r., a 2295 w kwietniu 2021 r.). Bezrobotni zarejestrowani stanowili 23,3% ogółu zarejestrowanych bezrobotnych w województwie.</w:t>
      </w:r>
    </w:p>
    <w:p w14:paraId="04D8D7E4" w14:textId="62371784" w:rsidR="000A42BD" w:rsidRPr="000A42BD" w:rsidRDefault="00BB487D" w:rsidP="002C09DD">
      <w:pPr>
        <w:spacing w:line="288" w:lineRule="auto"/>
        <w:rPr>
          <w:rFonts w:eastAsia="Calibri" w:cs="Arial"/>
          <w:szCs w:val="19"/>
        </w:rPr>
      </w:pPr>
      <w:r w:rsidRPr="00BB487D">
        <w:rPr>
          <w:rFonts w:eastAsia="Calibri" w:cs="Arial"/>
          <w:szCs w:val="19"/>
        </w:rPr>
        <w:t>Liczba osób rejestrujących się po raz pierwszy wyniosła 1663 (przed miesiącem 1099), co stanowiło 57,1% ogółu bezrobotnych, którzy zarejestrowali się w kwietniu 2022 r. oraz 37,4% zarejestrowanych po raz pierwszy w województwie. Udział osób zwolnionych z przyczyn dotyczących zakładu pracy wśród bezrobotnych zarejestrowanych w kwietniu 2022 r. wyniósł 1,2% (w województwie mazowieckim 3,8%), przed miesiącem 1,4%, a przed rokiem 3,2%.</w:t>
      </w:r>
    </w:p>
    <w:p w14:paraId="0DDEF0FD" w14:textId="51267538" w:rsidR="000A42BD" w:rsidRPr="009E265D" w:rsidRDefault="00F40427" w:rsidP="009E265D">
      <w:pPr>
        <w:spacing w:line="288" w:lineRule="auto"/>
        <w:rPr>
          <w:rFonts w:eastAsia="Calibri" w:cs="Arial"/>
          <w:spacing w:val="-4"/>
          <w:szCs w:val="19"/>
        </w:rPr>
      </w:pPr>
      <w:r w:rsidRPr="009E265D">
        <w:rPr>
          <w:rFonts w:eastAsia="Calibri" w:cs="Arial"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1570D1CC" wp14:editId="6A0826DA">
                <wp:simplePos x="0" y="0"/>
                <wp:positionH relativeFrom="column">
                  <wp:posOffset>5278755</wp:posOffset>
                </wp:positionH>
                <wp:positionV relativeFrom="paragraph">
                  <wp:posOffset>997585</wp:posOffset>
                </wp:positionV>
                <wp:extent cx="1725295" cy="1025525"/>
                <wp:effectExtent l="0" t="0" r="0" b="3175"/>
                <wp:wrapTight wrapText="bothSides">
                  <wp:wrapPolygon edited="0">
                    <wp:start x="715" y="0"/>
                    <wp:lineTo x="715" y="21266"/>
                    <wp:lineTo x="20749" y="21266"/>
                    <wp:lineTo x="20749" y="0"/>
                    <wp:lineTo x="715" y="0"/>
                  </wp:wrapPolygon>
                </wp:wrapTight>
                <wp:docPr id="33" name="Pole tekstowe 33" descr="W kwietniu 2022 r. udział osób bezrobotnych nie posiadających prawa do zasiłku był o 5,0% wyższy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5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66B534" w14:textId="1E4608B3" w:rsidR="00F40427" w:rsidRPr="000A42BD" w:rsidRDefault="00F40427" w:rsidP="00F40427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 w:rsidRPr="000A42BD">
                              <w:t xml:space="preserve">W </w:t>
                            </w:r>
                            <w:r>
                              <w:t>kwietniu</w:t>
                            </w:r>
                            <w:r w:rsidRPr="000A42BD">
                              <w:t xml:space="preserve"> 202</w:t>
                            </w:r>
                            <w:r>
                              <w:t>2</w:t>
                            </w:r>
                            <w:r w:rsidRPr="000A42BD">
                              <w:t xml:space="preserve"> r. </w:t>
                            </w:r>
                            <w:r>
                              <w:t xml:space="preserve">udział osób bezrobotnych nie posiadających prawa do zasiłku był o 5,0% wyższy </w:t>
                            </w:r>
                            <w:r w:rsidRPr="000A42BD">
                              <w:t>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0D1CC" id="Pole tekstowe 33" o:spid="_x0000_s1029" type="#_x0000_t202" alt="Tytuł: Istotna informacja — opis: W kwietniu 2022 r. udział osób bezrobotnych nie posiadających prawa do zasiłku był o 5,0% wyższy niż przed rokiem" style="position:absolute;margin-left:415.65pt;margin-top:78.55pt;width:135.85pt;height:80.75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" filled="f" stroked="f">
                <v:textbox>
                  <w:txbxContent>
                    <w:p w14:paraId="3366B534" w14:textId="1E4608B3" w:rsidR="00F40427" w:rsidRPr="000A42BD" w:rsidRDefault="00F40427" w:rsidP="00F40427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 w:rsidRPr="000A42BD">
                        <w:t xml:space="preserve">W </w:t>
                      </w:r>
                      <w:r>
                        <w:t>kwietniu</w:t>
                      </w:r>
                      <w:r w:rsidRPr="000A42BD">
                        <w:t xml:space="preserve"> 202</w:t>
                      </w:r>
                      <w:r>
                        <w:t>2</w:t>
                      </w:r>
                      <w:r w:rsidRPr="000A42BD">
                        <w:t xml:space="preserve"> r. </w:t>
                      </w:r>
                      <w:r>
                        <w:t xml:space="preserve">udział osób bezrobotnych nie posiadających prawa do zasiłku był o 5,0% wyższy </w:t>
                      </w:r>
                      <w:r w:rsidRPr="000A42BD">
                        <w:t>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B487D" w:rsidRPr="00BB487D">
        <w:rPr>
          <w:rFonts w:eastAsia="Calibri" w:cs="Arial"/>
          <w:spacing w:val="-4"/>
          <w:szCs w:val="19"/>
        </w:rPr>
        <w:t xml:space="preserve">W kwietniu 2022 r. z ewidencji bezrobotnych wyrejestrowano 2572 osoby (2618 w marcu 2022 r., </w:t>
      </w:r>
      <w:r w:rsidR="003304BF">
        <w:rPr>
          <w:rFonts w:eastAsia="Calibri" w:cs="Arial"/>
          <w:spacing w:val="-4"/>
          <w:szCs w:val="19"/>
        </w:rPr>
        <w:br/>
      </w:r>
      <w:r w:rsidR="00BB487D" w:rsidRPr="00BB487D">
        <w:rPr>
          <w:rFonts w:eastAsia="Calibri" w:cs="Arial"/>
          <w:spacing w:val="-4"/>
          <w:szCs w:val="19"/>
        </w:rPr>
        <w:t>a 1937 w kwietniu 2021 r.), co stanowiło 17,3% wyrejestrowanych z ewidencji bezrobotnych w województwie mazowieckim. Spośród wyrejestrowanych bezrobotnych 1492 osoby podjęły pracę. Ponadto 497 osób utraciło status bezrobotnego w wyniku niepotwierdzenia gotowości do podjęcia pracy. Przyczyną skreślenia z ewidencji było również rozpoczęcie stażu, nabycie uprawnień do zasiłku lub świadczenia przedemerytalnego, rozpoczęcie szkolenia lub stażu, nabycie praw emerytalnych lub rentowych, dobrowolne zrezygnowanie ze statusu bezrobotnego i inne.</w:t>
      </w:r>
    </w:p>
    <w:p w14:paraId="3CCFE55D" w14:textId="20F5DE3F" w:rsidR="000A42BD" w:rsidRPr="009E265D" w:rsidRDefault="00BB487D" w:rsidP="009E265D">
      <w:pPr>
        <w:spacing w:line="288" w:lineRule="auto"/>
        <w:rPr>
          <w:rFonts w:eastAsia="Calibri" w:cs="Arial"/>
          <w:spacing w:val="-2"/>
          <w:szCs w:val="19"/>
        </w:rPr>
      </w:pPr>
      <w:r w:rsidRPr="00BB487D">
        <w:rPr>
          <w:rFonts w:eastAsia="Calibri" w:cs="Arial"/>
          <w:spacing w:val="-2"/>
          <w:szCs w:val="19"/>
        </w:rPr>
        <w:t>Prawa do zasiłku nie posiadały 22003 osoby, tj. 90,4% ogółu zarejestrowanych bezrobotnych (przed rokiem 22916 osób, tj. 85,4%). Natomiast 2341 bezrobotnych posiadało prawo do zasiłku.</w:t>
      </w:r>
    </w:p>
    <w:p w14:paraId="3A01AF2F" w14:textId="7E2D1942" w:rsidR="000A42BD" w:rsidRPr="00215211" w:rsidRDefault="00F40427" w:rsidP="00676713">
      <w:pPr>
        <w:pStyle w:val="Tytuwykresu0"/>
        <w:spacing w:line="240" w:lineRule="auto"/>
        <w:rPr>
          <w:rFonts w:ascii="Fira Sans" w:eastAsia="Calibri" w:hAnsi="Fira Sans" w:cs="Arial"/>
          <w:szCs w:val="19"/>
        </w:rPr>
      </w:pPr>
      <w:r w:rsidRPr="00F40427">
        <w:drawing>
          <wp:anchor distT="0" distB="0" distL="114300" distR="114300" simplePos="0" relativeHeight="251809792" behindDoc="0" locked="0" layoutInCell="1" allowOverlap="1" wp14:anchorId="4765EBE5" wp14:editId="34DF04AC">
            <wp:simplePos x="0" y="0"/>
            <wp:positionH relativeFrom="column">
              <wp:posOffset>120769</wp:posOffset>
            </wp:positionH>
            <wp:positionV relativeFrom="paragraph">
              <wp:posOffset>376555</wp:posOffset>
            </wp:positionV>
            <wp:extent cx="4968875" cy="1854835"/>
            <wp:effectExtent l="0" t="0" r="3175" b="0"/>
            <wp:wrapTopAndBottom/>
            <wp:docPr id="34" name="Obraz 34" descr="Na wykresie słupkowym przedstawiono liczbę bezrobotnych przypadających na 1 ofertę pracy w poszczególnych miesiącach lat 2021 i 2022. Dane do wykresu dostępne są w załączonym pliku excel." title="Wykres 2. Liczba bezrobotnych na 1 ofertę pracy (stan w końcu miesiąca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oje dokumenty\Publikacje\Sygnalne\Statystyka Warszawy\2022\04\wykresy\bezrobotni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185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42BD" w:rsidRPr="00215211">
        <w:rPr>
          <w:rFonts w:ascii="Fira Sans" w:eastAsia="Calibri" w:hAnsi="Fira Sans" w:cs="Arial"/>
          <w:szCs w:val="19"/>
        </w:rPr>
        <w:t xml:space="preserve">Wykres 2. Liczba </w:t>
      </w:r>
      <w:r w:rsidR="000A42BD" w:rsidRPr="00215211">
        <w:rPr>
          <w:rFonts w:ascii="Fira Sans" w:hAnsi="Fira Sans"/>
        </w:rPr>
        <w:t>bezrobotnych</w:t>
      </w:r>
      <w:r w:rsidR="000A42BD" w:rsidRPr="00215211">
        <w:rPr>
          <w:rFonts w:ascii="Fira Sans" w:eastAsia="Calibri" w:hAnsi="Fira Sans" w:cs="Arial"/>
          <w:szCs w:val="19"/>
        </w:rPr>
        <w:t xml:space="preserve"> na 1 ofertę pracy (stan w końcu miesiąca)</w:t>
      </w:r>
      <w:r w:rsidR="000A42BD" w:rsidRPr="00215211">
        <w:rPr>
          <w:rFonts w:ascii="Fira Sans" w:hAnsi="Fira Sans"/>
        </w:rPr>
        <w:t xml:space="preserve"> </w:t>
      </w:r>
    </w:p>
    <w:p w14:paraId="00083F74" w14:textId="76A04968" w:rsidR="009E265D" w:rsidRDefault="00854C03" w:rsidP="009E265D">
      <w:pPr>
        <w:spacing w:line="288" w:lineRule="auto"/>
        <w:rPr>
          <w:lang w:eastAsia="pl-PL"/>
        </w:rPr>
      </w:pPr>
      <w:r w:rsidRPr="009E265D">
        <w:rPr>
          <w:rFonts w:eastAsia="Calibri" w:cs="Arial"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08FDD048" wp14:editId="2EB5A844">
                <wp:simplePos x="0" y="0"/>
                <wp:positionH relativeFrom="column">
                  <wp:posOffset>5297805</wp:posOffset>
                </wp:positionH>
                <wp:positionV relativeFrom="paragraph">
                  <wp:posOffset>1960880</wp:posOffset>
                </wp:positionV>
                <wp:extent cx="1725295" cy="698500"/>
                <wp:effectExtent l="0" t="0" r="0" b="6350"/>
                <wp:wrapTight wrapText="bothSides">
                  <wp:wrapPolygon edited="0">
                    <wp:start x="715" y="0"/>
                    <wp:lineTo x="715" y="21207"/>
                    <wp:lineTo x="20749" y="21207"/>
                    <wp:lineTo x="20749" y="0"/>
                    <wp:lineTo x="715" y="0"/>
                  </wp:wrapPolygon>
                </wp:wrapTight>
                <wp:docPr id="4" name="Pole tekstowe 4" descr="W kwietniu 2022 r. zgłoszono o 25,3% więcej ofert pracy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98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2175E" w14:textId="5F9EF687" w:rsidR="00D972F6" w:rsidRPr="000A42BD" w:rsidRDefault="000A42BD" w:rsidP="003C4A76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 w:rsidRPr="000A42BD">
                              <w:t xml:space="preserve">W </w:t>
                            </w:r>
                            <w:r w:rsidR="00310C0A">
                              <w:t>kwietniu</w:t>
                            </w:r>
                            <w:r w:rsidRPr="000A42BD">
                              <w:t xml:space="preserve"> 202</w:t>
                            </w:r>
                            <w:r w:rsidR="00B21367">
                              <w:t>2</w:t>
                            </w:r>
                            <w:r w:rsidRPr="000A42BD">
                              <w:t xml:space="preserve"> r. zgłoszono </w:t>
                            </w:r>
                            <w:r w:rsidR="00854C03">
                              <w:br/>
                            </w:r>
                            <w:r w:rsidRPr="000A42BD">
                              <w:t xml:space="preserve">o </w:t>
                            </w:r>
                            <w:r w:rsidR="00310C0A">
                              <w:t>25,3</w:t>
                            </w:r>
                            <w:r w:rsidRPr="000A42BD">
                              <w:t>% więcej ofert pracy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DD048" id="Pole tekstowe 4" o:spid="_x0000_s1031" type="#_x0000_t202" alt="Tytuł: Istotna informacja — opis: W kwietniu 2022 r. zgłoszono o 25,3% więcej ofert pracy niż przed rokiem" style="position:absolute;margin-left:417.15pt;margin-top:154.4pt;width:135.85pt;height:5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" filled="f" stroked="f">
                <v:textbox>
                  <w:txbxContent>
                    <w:p w14:paraId="29D2175E" w14:textId="5F9EF687" w:rsidR="00D972F6" w:rsidRPr="000A42BD" w:rsidRDefault="000A42BD" w:rsidP="003C4A76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 w:rsidRPr="000A42BD">
                        <w:t xml:space="preserve">W </w:t>
                      </w:r>
                      <w:r w:rsidR="00310C0A">
                        <w:t>kwietniu</w:t>
                      </w:r>
                      <w:r w:rsidRPr="000A42BD">
                        <w:t xml:space="preserve"> 202</w:t>
                      </w:r>
                      <w:r w:rsidR="00B21367">
                        <w:t>2</w:t>
                      </w:r>
                      <w:r w:rsidRPr="000A42BD">
                        <w:t xml:space="preserve"> r. zgłoszono </w:t>
                      </w:r>
                      <w:r w:rsidR="00854C03">
                        <w:br/>
                      </w:r>
                      <w:r w:rsidRPr="000A42BD">
                        <w:t xml:space="preserve">o </w:t>
                      </w:r>
                      <w:r w:rsidR="00310C0A">
                        <w:t>25,3</w:t>
                      </w:r>
                      <w:r w:rsidRPr="000A42BD">
                        <w:t>% więcej ofert pracy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AA1C11E" w14:textId="77777777" w:rsidR="00BB487D" w:rsidRPr="00BB487D" w:rsidRDefault="00BB487D" w:rsidP="00BB487D">
      <w:pPr>
        <w:rPr>
          <w:lang w:eastAsia="pl-PL"/>
        </w:rPr>
      </w:pPr>
      <w:r w:rsidRPr="00BB487D">
        <w:rPr>
          <w:lang w:eastAsia="pl-PL"/>
        </w:rPr>
        <w:t>W kwietniu 2022 r. do urzędów pracy zgłoszono 3729 ofert pracy, co stanowiło 26,1% ofert pracy w województwie mazowieckim i w końcu tego miesiąca urzędy dysponowały ofertami pracy dla 2196 osób. Na jedną ofertę pracy przypadało w końcu kwietnia 2022 r. 11 osób (przed miesiącem 11, a przed rokiem 21), w województwie mazowieckim 16 osób (przed miesiącem 14, a przed rokiem 17) zarejestrowanych jako bezrobotne.</w:t>
      </w:r>
    </w:p>
    <w:p w14:paraId="37DAAF9D" w14:textId="41C52E09" w:rsidR="007D25F5" w:rsidRPr="00461CC6" w:rsidRDefault="007D25F5" w:rsidP="00676713">
      <w:pPr>
        <w:pStyle w:val="Nagwek1"/>
        <w:rPr>
          <w:rFonts w:ascii="Fira Sans" w:hAnsi="Fira Sans"/>
          <w:b/>
        </w:rPr>
      </w:pPr>
      <w:r w:rsidRPr="00461CC6">
        <w:rPr>
          <w:rFonts w:ascii="Fira Sans" w:hAnsi="Fira Sans"/>
          <w:b/>
        </w:rPr>
        <w:lastRenderedPageBreak/>
        <w:t>Wynagrodzenia</w:t>
      </w:r>
    </w:p>
    <w:p w14:paraId="5B8FE111" w14:textId="2895EF7B" w:rsidR="007D25F5" w:rsidRPr="007D25F5" w:rsidRDefault="0074476A" w:rsidP="007D25F5">
      <w:pPr>
        <w:spacing w:line="288" w:lineRule="auto"/>
        <w:rPr>
          <w:lang w:eastAsia="pl-PL"/>
        </w:rPr>
      </w:pPr>
      <w:r w:rsidRPr="00966C9A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115F9A0F" wp14:editId="533D1BA5">
                <wp:simplePos x="0" y="0"/>
                <wp:positionH relativeFrom="column">
                  <wp:posOffset>5276850</wp:posOffset>
                </wp:positionH>
                <wp:positionV relativeFrom="paragraph">
                  <wp:posOffset>367066</wp:posOffset>
                </wp:positionV>
                <wp:extent cx="1725295" cy="1152525"/>
                <wp:effectExtent l="0" t="0" r="0" b="0"/>
                <wp:wrapTight wrapText="bothSides">
                  <wp:wrapPolygon edited="0">
                    <wp:start x="715" y="0"/>
                    <wp:lineTo x="715" y="21064"/>
                    <wp:lineTo x="20749" y="21064"/>
                    <wp:lineTo x="20749" y="0"/>
                    <wp:lineTo x="715" y="0"/>
                  </wp:wrapPolygon>
                </wp:wrapTight>
                <wp:docPr id="24" name="Pole tekstowe 24" descr="Przeciętne miesięczne wynagrodzenie brutto w sektorze przedsiębiorstw w kwietniu 2022 r. wyniosło 8219,68 zł i było o 12,5% wyższe niż w kwietniu 2021 r.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52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990472" w14:textId="6ADC3E22" w:rsidR="00852D68" w:rsidRPr="000A42BD" w:rsidRDefault="00803AF0" w:rsidP="00461CC6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>
                              <w:t>Przeciętne miesięczne wyna</w:t>
                            </w:r>
                            <w:r w:rsidR="000D1A42" w:rsidRPr="000D1A42">
                              <w:t xml:space="preserve">grodzenie brutto w sektorze przedsiębiorstw w </w:t>
                            </w:r>
                            <w:r w:rsidR="00316EC6">
                              <w:t xml:space="preserve">kwietniu </w:t>
                            </w:r>
                            <w:r w:rsidR="000D1A42" w:rsidRPr="000D1A42">
                              <w:t>202</w:t>
                            </w:r>
                            <w:r>
                              <w:t>2</w:t>
                            </w:r>
                            <w:r w:rsidR="000D1A42" w:rsidRPr="000D1A42">
                              <w:t xml:space="preserve"> r. wyniosło </w:t>
                            </w:r>
                            <w:r w:rsidR="00316EC6">
                              <w:t>8219,68</w:t>
                            </w:r>
                            <w:r w:rsidR="000D1A42" w:rsidRPr="000D1A42">
                              <w:t xml:space="preserve"> zł </w:t>
                            </w:r>
                            <w:r w:rsidR="000A6D3A">
                              <w:br/>
                            </w:r>
                            <w:r w:rsidR="000D1A42" w:rsidRPr="000D1A42">
                              <w:t xml:space="preserve">i było o </w:t>
                            </w:r>
                            <w:r w:rsidR="00BC3FF8">
                              <w:t>1</w:t>
                            </w:r>
                            <w:r w:rsidR="00316EC6">
                              <w:t>2</w:t>
                            </w:r>
                            <w:r w:rsidR="00BC3FF8">
                              <w:t>,</w:t>
                            </w:r>
                            <w:r w:rsidR="00CD278B">
                              <w:t>5</w:t>
                            </w:r>
                            <w:r w:rsidR="000D1A42" w:rsidRPr="000D1A42">
                              <w:t xml:space="preserve">% wyższe niż </w:t>
                            </w:r>
                            <w:r w:rsidR="000A6D3A">
                              <w:br/>
                            </w:r>
                            <w:r w:rsidR="000D1A42" w:rsidRPr="000D1A42">
                              <w:t xml:space="preserve">w </w:t>
                            </w:r>
                            <w:r w:rsidR="00316EC6">
                              <w:t>kwietniu</w:t>
                            </w:r>
                            <w:r w:rsidR="000D1A42" w:rsidRPr="000D1A42">
                              <w:t xml:space="preserve"> 202</w:t>
                            </w:r>
                            <w:r>
                              <w:t>1</w:t>
                            </w:r>
                            <w:r w:rsidR="000D1A42" w:rsidRPr="000D1A42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F9A0F" id="Pole tekstowe 24" o:spid="_x0000_s1032" type="#_x0000_t202" alt="Tytuł: Istotna informacja — opis: Przeciętne miesięczne wynagrodzenie brutto w sektorze przedsiębiorstw w kwietniu 2022 r. wyniosło 8219,68 zł i było o 12,5% wyższe niż w kwietniu 2021 r." style="position:absolute;margin-left:415.5pt;margin-top:28.9pt;width:135.85pt;height:90.75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" filled="f" stroked="f">
                <v:textbox>
                  <w:txbxContent>
                    <w:p w14:paraId="63990472" w14:textId="6ADC3E22" w:rsidR="00852D68" w:rsidRPr="000A42BD" w:rsidRDefault="00803AF0" w:rsidP="00461CC6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>
                        <w:t>Przeciętne miesięczne wyna</w:t>
                      </w:r>
                      <w:r w:rsidR="000D1A42" w:rsidRPr="000D1A42">
                        <w:t xml:space="preserve">grodzenie brutto w sektorze przedsiębiorstw w </w:t>
                      </w:r>
                      <w:r w:rsidR="00316EC6">
                        <w:t xml:space="preserve">kwietniu </w:t>
                      </w:r>
                      <w:r w:rsidR="000D1A42" w:rsidRPr="000D1A42">
                        <w:t>202</w:t>
                      </w:r>
                      <w:r>
                        <w:t>2</w:t>
                      </w:r>
                      <w:r w:rsidR="000D1A42" w:rsidRPr="000D1A42">
                        <w:t xml:space="preserve"> r. wyniosło </w:t>
                      </w:r>
                      <w:r w:rsidR="00316EC6">
                        <w:t>8219,68</w:t>
                      </w:r>
                      <w:r w:rsidR="000D1A42" w:rsidRPr="000D1A42">
                        <w:t xml:space="preserve"> zł </w:t>
                      </w:r>
                      <w:r w:rsidR="000A6D3A">
                        <w:br/>
                      </w:r>
                      <w:r w:rsidR="000D1A42" w:rsidRPr="000D1A42">
                        <w:t xml:space="preserve">i było o </w:t>
                      </w:r>
                      <w:r w:rsidR="00BC3FF8">
                        <w:t>1</w:t>
                      </w:r>
                      <w:r w:rsidR="00316EC6">
                        <w:t>2</w:t>
                      </w:r>
                      <w:r w:rsidR="00BC3FF8">
                        <w:t>,</w:t>
                      </w:r>
                      <w:r w:rsidR="00CD278B">
                        <w:t>5</w:t>
                      </w:r>
                      <w:r w:rsidR="000D1A42" w:rsidRPr="000D1A42">
                        <w:t xml:space="preserve">% wyższe niż </w:t>
                      </w:r>
                      <w:r w:rsidR="000A6D3A">
                        <w:br/>
                      </w:r>
                      <w:r w:rsidR="000D1A42" w:rsidRPr="000D1A42">
                        <w:t xml:space="preserve">w </w:t>
                      </w:r>
                      <w:r w:rsidR="00316EC6">
                        <w:t>kwietniu</w:t>
                      </w:r>
                      <w:r w:rsidR="000D1A42" w:rsidRPr="000D1A42">
                        <w:t xml:space="preserve"> 202</w:t>
                      </w:r>
                      <w:r>
                        <w:t>1</w:t>
                      </w:r>
                      <w:r w:rsidR="000D1A42" w:rsidRPr="000D1A42">
                        <w:t xml:space="preserve">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44C7D" w:rsidRPr="00B44C7D">
        <w:rPr>
          <w:noProof/>
          <w:lang w:eastAsia="pl-PL"/>
        </w:rPr>
        <w:t>Przeciętne miesięczne wynagrodzenie brutto w sektorze przedsiębiorstw w kwietniu 2022 r. wyniosło 8219,68 zł i było o 3,2% niższe w stosunku do poprzedniego miesiąca i o 12,5% wyższe niż w analogicznym okresie 2021 r.</w:t>
      </w:r>
    </w:p>
    <w:p w14:paraId="38465EF5" w14:textId="72D86909" w:rsidR="007D25F5" w:rsidRPr="00B7035D" w:rsidRDefault="00B44C7D" w:rsidP="00B7035D">
      <w:pPr>
        <w:spacing w:line="288" w:lineRule="auto"/>
        <w:rPr>
          <w:spacing w:val="-8"/>
          <w:lang w:eastAsia="pl-PL"/>
        </w:rPr>
      </w:pPr>
      <w:r w:rsidRPr="00B7035D">
        <w:rPr>
          <w:spacing w:val="-8"/>
          <w:lang w:eastAsia="pl-PL"/>
        </w:rPr>
        <w:t>W porównaniu z marcem 2022 r. spadek przeciętnego wynagrodzenia brutto odnotowano w sekcjach: obsługa rynku nieruchomości (o 20,5%), działalność profesjonalna, naukowa i techniczna (o 10,8%), zakwaterowanie i gastronomia (o 7,2%), handel; naprawa pojazdów samochodowych (o 6,2%), informacja i komunikacja (o 3,4%), administrowanie i działalność wspierająca (o 2,3%), przemysł (o 1,2%).</w:t>
      </w:r>
    </w:p>
    <w:p w14:paraId="4045AA75" w14:textId="3E377ABE" w:rsidR="00960F40" w:rsidRDefault="00960F40" w:rsidP="007D25F5">
      <w:pPr>
        <w:spacing w:line="288" w:lineRule="auto"/>
        <w:rPr>
          <w:lang w:eastAsia="pl-PL"/>
        </w:rPr>
      </w:pPr>
      <w:r w:rsidRPr="00960F40">
        <w:rPr>
          <w:lang w:eastAsia="pl-PL"/>
        </w:rPr>
        <w:t xml:space="preserve">Natomiast wzrost przeciętnego wynagrodzenia brutto wystąpił w sekcjach: budownictwo </w:t>
      </w:r>
      <w:r w:rsidR="00DB0C8F">
        <w:rPr>
          <w:lang w:eastAsia="pl-PL"/>
        </w:rPr>
        <w:br/>
      </w:r>
      <w:r w:rsidRPr="00960F40">
        <w:rPr>
          <w:lang w:eastAsia="pl-PL"/>
        </w:rPr>
        <w:t>(o 16,2%), transport i gospodarka magazynowa (o 0,3%).</w:t>
      </w:r>
    </w:p>
    <w:p w14:paraId="190F725B" w14:textId="4A8C2A8A" w:rsidR="007D25F5" w:rsidRPr="00215211" w:rsidRDefault="00DB0C8F" w:rsidP="00676713">
      <w:pPr>
        <w:pStyle w:val="Tytuwykresu0"/>
        <w:spacing w:line="240" w:lineRule="auto"/>
        <w:ind w:left="907" w:hanging="907"/>
        <w:rPr>
          <w:rFonts w:ascii="Fira Sans" w:hAnsi="Fira Sans"/>
          <w:szCs w:val="19"/>
        </w:rPr>
      </w:pPr>
      <w:r w:rsidRPr="00DB0C8F">
        <w:rPr>
          <w:szCs w:val="19"/>
        </w:rPr>
        <w:drawing>
          <wp:anchor distT="0" distB="0" distL="114300" distR="114300" simplePos="0" relativeHeight="251810816" behindDoc="0" locked="0" layoutInCell="1" allowOverlap="1" wp14:anchorId="1C4EE397" wp14:editId="713A1CE9">
            <wp:simplePos x="0" y="0"/>
            <wp:positionH relativeFrom="column">
              <wp:posOffset>283569</wp:posOffset>
            </wp:positionH>
            <wp:positionV relativeFrom="paragraph">
              <wp:posOffset>625895</wp:posOffset>
            </wp:positionV>
            <wp:extent cx="4934585" cy="2225675"/>
            <wp:effectExtent l="0" t="0" r="0" b="3175"/>
            <wp:wrapTopAndBottom/>
            <wp:docPr id="37" name="Obraz 37" descr="Na wykresie słupkowym przedstawiono odchylenia względne w % przeciętnych miesięcznych wynagrodzeń brutto w wybranych sekcjach PKD od średniego wynagrodzenia w sektorze przedsiębiorstw w kwietniu 2022 roku. Dane do wykresu dostępne są w załączonym pliku excel." title="Wykres 3. Odchylenia względne przeciętnych miesięcznych wynagrodzeń brutto w wybranych sekcjach od średniego wynagrodzenia w sektorze przedsiębiorstw w kwietniu 2022 roku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Moje dokumenty\Publikacje\Sygnalne\Statystyka Warszawy\2022\04\wykresy\wynagrodzeni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585" cy="22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25F5" w:rsidRPr="00215211">
        <w:rPr>
          <w:rFonts w:ascii="Fira Sans" w:hAnsi="Fira Sans"/>
        </w:rPr>
        <w:t>Wykres 3. Odchylenia względne (w %) przeciętnych miesięcz</w:t>
      </w:r>
      <w:r w:rsidR="000A6D3A" w:rsidRPr="00215211">
        <w:rPr>
          <w:rFonts w:ascii="Fira Sans" w:hAnsi="Fira Sans"/>
        </w:rPr>
        <w:t xml:space="preserve">nych wynagrodzeń brutto </w:t>
      </w:r>
      <w:r w:rsidR="00215211">
        <w:rPr>
          <w:rFonts w:ascii="Fira Sans" w:hAnsi="Fira Sans"/>
        </w:rPr>
        <w:br/>
      </w:r>
      <w:r w:rsidR="000A6D3A" w:rsidRPr="00215211">
        <w:rPr>
          <w:rFonts w:ascii="Fira Sans" w:hAnsi="Fira Sans"/>
        </w:rPr>
        <w:t>w wybra</w:t>
      </w:r>
      <w:r w:rsidR="007D25F5" w:rsidRPr="00215211">
        <w:rPr>
          <w:rFonts w:ascii="Fira Sans" w:hAnsi="Fira Sans"/>
        </w:rPr>
        <w:t xml:space="preserve">nych </w:t>
      </w:r>
      <w:r w:rsidR="007D25F5" w:rsidRPr="00215211">
        <w:rPr>
          <w:rFonts w:ascii="Fira Sans" w:hAnsi="Fira Sans"/>
          <w:szCs w:val="19"/>
        </w:rPr>
        <w:t xml:space="preserve">sekcjach od średniego wynagrodzenia w sektorze przedsiębiorstw </w:t>
      </w:r>
      <w:r w:rsidR="00215211">
        <w:rPr>
          <w:rFonts w:ascii="Fira Sans" w:hAnsi="Fira Sans"/>
          <w:szCs w:val="19"/>
        </w:rPr>
        <w:br/>
      </w:r>
      <w:r w:rsidR="007D25F5" w:rsidRPr="00215211">
        <w:rPr>
          <w:rFonts w:ascii="Fira Sans" w:hAnsi="Fira Sans"/>
          <w:szCs w:val="19"/>
        </w:rPr>
        <w:t xml:space="preserve">w </w:t>
      </w:r>
      <w:r>
        <w:rPr>
          <w:rFonts w:ascii="Fira Sans" w:hAnsi="Fira Sans"/>
          <w:szCs w:val="19"/>
        </w:rPr>
        <w:t>kwietniu</w:t>
      </w:r>
      <w:r w:rsidR="007D25F5" w:rsidRPr="00215211">
        <w:rPr>
          <w:rFonts w:ascii="Fira Sans" w:hAnsi="Fira Sans"/>
          <w:szCs w:val="19"/>
        </w:rPr>
        <w:t xml:space="preserve"> 202</w:t>
      </w:r>
      <w:r w:rsidR="0074476A" w:rsidRPr="00215211">
        <w:rPr>
          <w:rFonts w:ascii="Fira Sans" w:hAnsi="Fira Sans"/>
          <w:szCs w:val="19"/>
        </w:rPr>
        <w:t>2</w:t>
      </w:r>
      <w:r w:rsidR="007D25F5" w:rsidRPr="00215211">
        <w:rPr>
          <w:rFonts w:ascii="Fira Sans" w:hAnsi="Fira Sans"/>
          <w:szCs w:val="19"/>
        </w:rPr>
        <w:t xml:space="preserve"> r.</w:t>
      </w:r>
    </w:p>
    <w:p w14:paraId="38F01589" w14:textId="29876721" w:rsidR="007D25F5" w:rsidRDefault="007D25F5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52E0C181" w14:textId="79CE88E7" w:rsidR="007D25F5" w:rsidRPr="00E77B24" w:rsidRDefault="00960F40" w:rsidP="00E77B24">
      <w:pPr>
        <w:spacing w:line="288" w:lineRule="auto"/>
        <w:rPr>
          <w:spacing w:val="-4"/>
          <w:lang w:eastAsia="pl-PL"/>
        </w:rPr>
      </w:pPr>
      <w:r w:rsidRPr="00960F40">
        <w:rPr>
          <w:spacing w:val="-4"/>
          <w:lang w:eastAsia="pl-PL"/>
        </w:rPr>
        <w:t>W stosunku do kwietnia 2021 r. wzrost przeciętnego wynagrodzenia brutto odnotowano w sekcjach: zakwaterowanie i gastronomia (o 19,5%), obsługa rynku nieruchomości (o 14,5%), budownictwo (o 14,4%), transport i gospodarka magazynowa (o 14,2%), działalność profesjonalna, naukowa i techniczna (o 12,5%), handel; naprawa pojazdów samochodowych (o 11,8%), administrowanie i działalność wspierająca (o 11,3%), przemysł (o 9,9%), informacja i komunikacja (o 8,8%).</w:t>
      </w:r>
    </w:p>
    <w:p w14:paraId="136C5931" w14:textId="1856FB78" w:rsidR="007D25F5" w:rsidRPr="007D25F5" w:rsidRDefault="00D80951" w:rsidP="00676713">
      <w:pPr>
        <w:pStyle w:val="Nagwek1"/>
      </w:pPr>
      <w:r w:rsidRPr="00215211">
        <w:rPr>
          <w:rFonts w:ascii="Fira Sans" w:hAnsi="Fira Sans"/>
          <w:b/>
          <w:noProof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0009DD2D" wp14:editId="2E968698">
                <wp:simplePos x="0" y="0"/>
                <wp:positionH relativeFrom="column">
                  <wp:posOffset>5256530</wp:posOffset>
                </wp:positionH>
                <wp:positionV relativeFrom="paragraph">
                  <wp:posOffset>133350</wp:posOffset>
                </wp:positionV>
                <wp:extent cx="1725295" cy="1026160"/>
                <wp:effectExtent l="0" t="0" r="0" b="2540"/>
                <wp:wrapTight wrapText="bothSides">
                  <wp:wrapPolygon edited="0">
                    <wp:start x="715" y="0"/>
                    <wp:lineTo x="715" y="21252"/>
                    <wp:lineTo x="20749" y="21252"/>
                    <wp:lineTo x="20749" y="0"/>
                    <wp:lineTo x="715" y="0"/>
                  </wp:wrapPolygon>
                </wp:wrapTight>
                <wp:docPr id="25" name="Pole tekstowe 25" descr="Produkcja sprzedana w przetwórstwie przemysłowym (w cenach stałych) w kwietniu 2022 r. była o 13,3% większa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6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2C312" w14:textId="30090B7E" w:rsidR="00852D68" w:rsidRPr="000A42BD" w:rsidRDefault="000A6D3A" w:rsidP="003510CA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>
                              <w:t>Produkcja sprzedana w prze</w:t>
                            </w:r>
                            <w:r w:rsidR="000D1A42">
                              <w:t xml:space="preserve">twórstwie przemysłowym </w:t>
                            </w:r>
                            <w:r>
                              <w:br/>
                            </w:r>
                            <w:r w:rsidR="000D1A42">
                              <w:t xml:space="preserve">(w cenach stałych) w </w:t>
                            </w:r>
                            <w:r w:rsidR="0030418E">
                              <w:t>kwietniu</w:t>
                            </w:r>
                            <w:r w:rsidR="000D1A42">
                              <w:t xml:space="preserve"> 20</w:t>
                            </w:r>
                            <w:r>
                              <w:t>22</w:t>
                            </w:r>
                            <w:r w:rsidR="000D1A42">
                              <w:t xml:space="preserve"> r. była o </w:t>
                            </w:r>
                            <w:r w:rsidR="0030418E">
                              <w:t>13,3</w:t>
                            </w:r>
                            <w:r w:rsidR="000D1A42">
                              <w:t>% większa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9DD2D" id="Pole tekstowe 25" o:spid="_x0000_s1033" type="#_x0000_t202" alt="Tytuł: Istotna informacja — opis: Produkcja sprzedana w przetwórstwie przemysłowym (w cenach stałych) w kwietniu 2022 r. była o 13,3% większa niż przed rokiem" style="position:absolute;margin-left:413.9pt;margin-top:10.5pt;width:135.85pt;height:80.8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" filled="f" stroked="f">
                <v:textbox>
                  <w:txbxContent>
                    <w:p w14:paraId="53E2C312" w14:textId="30090B7E" w:rsidR="00852D68" w:rsidRPr="000A42BD" w:rsidRDefault="000A6D3A" w:rsidP="003510CA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>
                        <w:t>Produkcja sprzedana w prze</w:t>
                      </w:r>
                      <w:r w:rsidR="000D1A42">
                        <w:t xml:space="preserve">twórstwie przemysłowym </w:t>
                      </w:r>
                      <w:r>
                        <w:br/>
                      </w:r>
                      <w:r w:rsidR="000D1A42">
                        <w:t xml:space="preserve">(w cenach stałych) w </w:t>
                      </w:r>
                      <w:r w:rsidR="0030418E">
                        <w:t>kwietniu</w:t>
                      </w:r>
                      <w:r w:rsidR="000D1A42">
                        <w:t xml:space="preserve"> 20</w:t>
                      </w:r>
                      <w:r>
                        <w:t>22</w:t>
                      </w:r>
                      <w:r w:rsidR="000D1A42">
                        <w:t xml:space="preserve"> r. była o </w:t>
                      </w:r>
                      <w:r w:rsidR="0030418E">
                        <w:t>13,3</w:t>
                      </w:r>
                      <w:r w:rsidR="000D1A42">
                        <w:t>% większa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5F5" w:rsidRPr="00215211">
        <w:rPr>
          <w:rFonts w:ascii="Fira Sans" w:hAnsi="Fira Sans"/>
          <w:b/>
        </w:rPr>
        <w:t>Przemysł</w:t>
      </w:r>
    </w:p>
    <w:p w14:paraId="262A13B7" w14:textId="36D6F282" w:rsidR="00960F40" w:rsidRPr="0030418E" w:rsidRDefault="00960F40" w:rsidP="0030418E">
      <w:pPr>
        <w:spacing w:line="288" w:lineRule="auto"/>
        <w:rPr>
          <w:rFonts w:eastAsia="Times New Roman" w:cs="Times New Roman"/>
          <w:spacing w:val="-8"/>
          <w:szCs w:val="19"/>
          <w:lang w:eastAsia="pl-PL"/>
        </w:rPr>
      </w:pPr>
      <w:r w:rsidRPr="0030418E">
        <w:rPr>
          <w:rFonts w:eastAsia="Times New Roman" w:cs="Times New Roman"/>
          <w:spacing w:val="-8"/>
          <w:szCs w:val="19"/>
          <w:lang w:eastAsia="pl-PL"/>
        </w:rPr>
        <w:t>Produkcja sprzedana przemysłu w kwietniu 2022 r. wyniosła (w cenach bieżących) 20872,4 mln zł i była (w cenach stałych) większa w stosunku do analogicznego miesiąca 2021 r. o 29,9%. W stosunku do kwietnia 2021 r. odnotowano wzrost produkcji sprzedanej w przetwórstwie przemysłowym o 13,3%.</w:t>
      </w:r>
    </w:p>
    <w:p w14:paraId="374311AC" w14:textId="77777777" w:rsidR="00960F40" w:rsidRPr="00960F40" w:rsidRDefault="00960F40" w:rsidP="00960F40">
      <w:pPr>
        <w:spacing w:line="288" w:lineRule="auto"/>
        <w:rPr>
          <w:rFonts w:eastAsia="Times New Roman" w:cs="Times New Roman"/>
          <w:spacing w:val="-6"/>
          <w:szCs w:val="19"/>
          <w:lang w:eastAsia="pl-PL"/>
        </w:rPr>
      </w:pPr>
      <w:r w:rsidRPr="00960F40">
        <w:rPr>
          <w:rFonts w:eastAsia="Times New Roman" w:cs="Times New Roman"/>
          <w:spacing w:val="-6"/>
          <w:szCs w:val="19"/>
          <w:lang w:eastAsia="pl-PL"/>
        </w:rPr>
        <w:t>W okresie styczeń–kwiecień 2022 r. produkcja sprzedana przemysłu wyniosła 89915,7 mln zł (w cenach bieżących) i była (w cenach stałych) wyższa o 33,9% od osiągniętej w analogicznym okresie 2021 r. W przetwórstwie przemysłowym odnotowano wzrost produkcji o 11,9%.</w:t>
      </w:r>
    </w:p>
    <w:p w14:paraId="48B80A9A" w14:textId="34E2105F" w:rsidR="00960F40" w:rsidRPr="00B7035D" w:rsidRDefault="00960F40" w:rsidP="00B7035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B7035D">
        <w:rPr>
          <w:rFonts w:eastAsia="Times New Roman" w:cs="Times New Roman"/>
          <w:szCs w:val="19"/>
          <w:lang w:eastAsia="pl-PL"/>
        </w:rPr>
        <w:t>Wśród działów zaliczanych do przetwórstwa przemysłowego wzrost sprzedaży wystąpił m.in. w: produkcji koksu i produktów rafinacji ropy naftowej (o 80,1%), produkcji wyrobów farm</w:t>
      </w:r>
      <w:r w:rsidR="0030418E" w:rsidRPr="00B7035D">
        <w:rPr>
          <w:rFonts w:eastAsia="Times New Roman" w:cs="Times New Roman"/>
          <w:szCs w:val="19"/>
          <w:lang w:eastAsia="pl-PL"/>
        </w:rPr>
        <w:t>a</w:t>
      </w:r>
      <w:r w:rsidRPr="00B7035D">
        <w:rPr>
          <w:rFonts w:eastAsia="Times New Roman" w:cs="Times New Roman"/>
          <w:szCs w:val="19"/>
          <w:lang w:eastAsia="pl-PL"/>
        </w:rPr>
        <w:t>ceutycznych (o 45,8%), produkcji wyrobów tekstylnych (o 41,8%), produkcji wyrobów z drew</w:t>
      </w:r>
      <w:r w:rsidR="00B7035D" w:rsidRPr="00B7035D">
        <w:rPr>
          <w:rFonts w:eastAsia="Times New Roman" w:cs="Times New Roman"/>
          <w:szCs w:val="19"/>
          <w:lang w:eastAsia="pl-PL"/>
        </w:rPr>
        <w:t>-</w:t>
      </w:r>
      <w:r w:rsidRPr="00B7035D">
        <w:rPr>
          <w:rFonts w:eastAsia="Times New Roman" w:cs="Times New Roman"/>
          <w:szCs w:val="19"/>
          <w:lang w:eastAsia="pl-PL"/>
        </w:rPr>
        <w:t xml:space="preserve">na, korka, słomy i wikliny (o 32,0%), naprawie, konserwacji i instalowaniu maszyn i urządzeń (o 30,3%), produkcji napojów (o 27,5%), produkcji wyrobów z gumy i tworzyw sztucznych </w:t>
      </w:r>
      <w:r w:rsidR="00B7035D" w:rsidRPr="00B7035D">
        <w:rPr>
          <w:rFonts w:eastAsia="Times New Roman" w:cs="Times New Roman"/>
          <w:szCs w:val="19"/>
          <w:lang w:eastAsia="pl-PL"/>
        </w:rPr>
        <w:br/>
      </w:r>
      <w:r w:rsidRPr="00B7035D">
        <w:rPr>
          <w:rFonts w:eastAsia="Times New Roman" w:cs="Times New Roman"/>
          <w:szCs w:val="19"/>
          <w:lang w:eastAsia="pl-PL"/>
        </w:rPr>
        <w:t>(o 22,3%), produkcji chemikaliów i wyrobów chemicznych</w:t>
      </w:r>
      <w:r w:rsidR="00F07934" w:rsidRPr="00B7035D">
        <w:rPr>
          <w:rFonts w:eastAsia="Times New Roman" w:cs="Times New Roman"/>
          <w:szCs w:val="19"/>
          <w:lang w:eastAsia="pl-PL"/>
        </w:rPr>
        <w:t xml:space="preserve"> oraz</w:t>
      </w:r>
      <w:r w:rsidRPr="00B7035D">
        <w:rPr>
          <w:rFonts w:eastAsia="Times New Roman" w:cs="Times New Roman"/>
          <w:szCs w:val="19"/>
          <w:lang w:eastAsia="pl-PL"/>
        </w:rPr>
        <w:t xml:space="preserve"> produkcji pozostałego sprzętu transportowego (</w:t>
      </w:r>
      <w:r w:rsidR="00F07934" w:rsidRPr="00B7035D">
        <w:rPr>
          <w:rFonts w:eastAsia="Times New Roman" w:cs="Times New Roman"/>
          <w:szCs w:val="19"/>
          <w:lang w:eastAsia="pl-PL"/>
        </w:rPr>
        <w:t>p</w:t>
      </w:r>
      <w:r w:rsidRPr="00B7035D">
        <w:rPr>
          <w:rFonts w:eastAsia="Times New Roman" w:cs="Times New Roman"/>
          <w:szCs w:val="19"/>
          <w:lang w:eastAsia="pl-PL"/>
        </w:rPr>
        <w:t>o 22,2%), produkcji mebli (o 20,0%), produkcji wyrobów z pozostałych mineralnych surowców niemetalicznych (o 16,4%), produkcji wyrobów z metali (o 11,0%)</w:t>
      </w:r>
      <w:r w:rsidR="00D344FD">
        <w:rPr>
          <w:rFonts w:eastAsia="Times New Roman" w:cs="Times New Roman"/>
          <w:szCs w:val="19"/>
          <w:lang w:eastAsia="pl-PL"/>
        </w:rPr>
        <w:t>.</w:t>
      </w:r>
    </w:p>
    <w:p w14:paraId="3AD1DD7C" w14:textId="3BEA058B" w:rsidR="00960F40" w:rsidRPr="00B7035D" w:rsidRDefault="00960F40" w:rsidP="00B7035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B7035D">
        <w:rPr>
          <w:rFonts w:eastAsia="Times New Roman" w:cs="Times New Roman"/>
          <w:szCs w:val="19"/>
          <w:lang w:eastAsia="pl-PL"/>
        </w:rPr>
        <w:t>Spadek sprzedaży odnotowano m.in. w: produkcji odzieży (o 15,2%), pozostałej produkcji wyrobów (o 5,2%), produkcji papieru i wyrobów z papieru (o 2,6%), produkcji komputerów, wyrobów elektronicznych i optycznych (o 2,2%)</w:t>
      </w:r>
    </w:p>
    <w:p w14:paraId="1DE3AC16" w14:textId="7E545D8B" w:rsidR="007D25F5" w:rsidRPr="007D25F5" w:rsidRDefault="00960F40" w:rsidP="00960F40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960F40">
        <w:rPr>
          <w:rFonts w:eastAsia="Times New Roman" w:cs="Times New Roman"/>
          <w:spacing w:val="-6"/>
          <w:szCs w:val="19"/>
          <w:lang w:eastAsia="pl-PL"/>
        </w:rPr>
        <w:lastRenderedPageBreak/>
        <w:t xml:space="preserve">Wydajność pracy w przemyśle, mierzona wartością produkcji sprzedanej na 1 zatrudnionego, </w:t>
      </w:r>
      <w:r w:rsidR="0030418E">
        <w:rPr>
          <w:rFonts w:eastAsia="Times New Roman" w:cs="Times New Roman"/>
          <w:spacing w:val="-6"/>
          <w:szCs w:val="19"/>
          <w:lang w:eastAsia="pl-PL"/>
        </w:rPr>
        <w:br/>
        <w:t xml:space="preserve">w </w:t>
      </w:r>
      <w:r w:rsidRPr="00960F40">
        <w:rPr>
          <w:rFonts w:eastAsia="Times New Roman" w:cs="Times New Roman"/>
          <w:spacing w:val="-6"/>
          <w:szCs w:val="19"/>
          <w:lang w:eastAsia="pl-PL"/>
        </w:rPr>
        <w:t>okresie styczeń-kwiecień 2022 r. wyniosła 476,8 tys. zł (w cenach bieżących) i była – licząc w cenach stałych – o 33,5% wyższa niż przed rokiem.</w:t>
      </w:r>
    </w:p>
    <w:p w14:paraId="424D7C5E" w14:textId="77777777" w:rsidR="007D25F5" w:rsidRPr="007D25F5" w:rsidRDefault="007D25F5" w:rsidP="00676713">
      <w:pPr>
        <w:pStyle w:val="Nagwek1"/>
      </w:pPr>
      <w:r w:rsidRPr="003510CA">
        <w:rPr>
          <w:rFonts w:ascii="Fira Sans" w:hAnsi="Fira Sans"/>
          <w:b/>
        </w:rPr>
        <w:t>Budownictwo</w:t>
      </w:r>
    </w:p>
    <w:p w14:paraId="3AA70CC8" w14:textId="3C4DDEE6" w:rsidR="007D25F5" w:rsidRPr="003D31C4" w:rsidRDefault="00960F40" w:rsidP="003D31C4">
      <w:pPr>
        <w:spacing w:line="288" w:lineRule="auto"/>
        <w:rPr>
          <w:rFonts w:eastAsia="Times New Roman" w:cs="Times New Roman"/>
          <w:spacing w:val="-4"/>
          <w:szCs w:val="19"/>
          <w:lang w:eastAsia="pl-PL"/>
        </w:rPr>
      </w:pPr>
      <w:r w:rsidRPr="00960F40">
        <w:rPr>
          <w:rFonts w:eastAsia="Times New Roman" w:cs="Times New Roman"/>
          <w:spacing w:val="-4"/>
          <w:szCs w:val="19"/>
          <w:lang w:eastAsia="pl-PL"/>
        </w:rPr>
        <w:t>Produkcja sprzedana budownictwa w kwietniu 2022 r. wyniosła (w cenach bieżących) 4777,9 mln zł i w stosunku do marca 2022 r. była mniejsza o 3,7%, a w stosunku do analogicznego okresu ubiegłego roku wzrosła o 24,9%.</w:t>
      </w:r>
    </w:p>
    <w:p w14:paraId="17DEAC47" w14:textId="0013D590" w:rsidR="005C683C" w:rsidRPr="007D25F5" w:rsidRDefault="00C72CCE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8B4F33">
        <w:rPr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78048" behindDoc="1" locked="0" layoutInCell="1" allowOverlap="1" wp14:anchorId="7FCBCC18" wp14:editId="7D533F55">
                <wp:simplePos x="0" y="0"/>
                <wp:positionH relativeFrom="column">
                  <wp:posOffset>5295900</wp:posOffset>
                </wp:positionH>
                <wp:positionV relativeFrom="paragraph">
                  <wp:posOffset>12700</wp:posOffset>
                </wp:positionV>
                <wp:extent cx="1725295" cy="1066800"/>
                <wp:effectExtent l="0" t="0" r="0" b="0"/>
                <wp:wrapTight wrapText="bothSides">
                  <wp:wrapPolygon edited="0">
                    <wp:start x="715" y="0"/>
                    <wp:lineTo x="715" y="21214"/>
                    <wp:lineTo x="20749" y="21214"/>
                    <wp:lineTo x="20749" y="0"/>
                    <wp:lineTo x="715" y="0"/>
                  </wp:wrapPolygon>
                </wp:wrapTight>
                <wp:docPr id="26" name="Pole tekstowe 26" descr="Produkcja budowlano-montażowa (w cenach bieżących) w kwietniu 2022 r. była o 20,5% większa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B06716" w14:textId="40A9CA31" w:rsidR="00852D68" w:rsidRPr="000A42BD" w:rsidRDefault="00852D68" w:rsidP="003510CA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 w:rsidRPr="008B4F33">
                              <w:rPr>
                                <w:spacing w:val="-2"/>
                              </w:rPr>
                              <w:t>Produkcja budo</w:t>
                            </w:r>
                            <w:r w:rsidR="00E74DA8" w:rsidRPr="008B4F33">
                              <w:rPr>
                                <w:spacing w:val="-2"/>
                              </w:rPr>
                              <w:t>wlano-montażowa (w cenach bieżą</w:t>
                            </w:r>
                            <w:r w:rsidRPr="008B4F33">
                              <w:rPr>
                                <w:spacing w:val="-2"/>
                              </w:rPr>
                              <w:t xml:space="preserve">cych) </w:t>
                            </w:r>
                            <w:r w:rsidR="008B4F33">
                              <w:rPr>
                                <w:spacing w:val="-2"/>
                              </w:rPr>
                              <w:br/>
                            </w:r>
                            <w:r w:rsidRPr="00B45011">
                              <w:rPr>
                                <w:spacing w:val="-4"/>
                              </w:rPr>
                              <w:t xml:space="preserve">w </w:t>
                            </w:r>
                            <w:r w:rsidR="00B45011" w:rsidRPr="00B45011">
                              <w:rPr>
                                <w:spacing w:val="-4"/>
                              </w:rPr>
                              <w:t>kwietniu</w:t>
                            </w:r>
                            <w:r w:rsidRPr="00B45011">
                              <w:rPr>
                                <w:spacing w:val="-4"/>
                              </w:rPr>
                              <w:t xml:space="preserve"> 202</w:t>
                            </w:r>
                            <w:r w:rsidR="00C71FD8" w:rsidRPr="00B45011">
                              <w:rPr>
                                <w:spacing w:val="-4"/>
                              </w:rPr>
                              <w:t>2</w:t>
                            </w:r>
                            <w:r w:rsidRPr="00B45011">
                              <w:rPr>
                                <w:spacing w:val="-4"/>
                              </w:rPr>
                              <w:t xml:space="preserve"> r. była o </w:t>
                            </w:r>
                            <w:r w:rsidR="00B45011" w:rsidRPr="00B45011">
                              <w:rPr>
                                <w:spacing w:val="-4"/>
                              </w:rPr>
                              <w:t>20,5</w:t>
                            </w:r>
                            <w:r w:rsidRPr="00B45011">
                              <w:rPr>
                                <w:spacing w:val="-4"/>
                              </w:rPr>
                              <w:t>%</w:t>
                            </w:r>
                            <w:r w:rsidRPr="00852D68">
                              <w:t xml:space="preserve"> </w:t>
                            </w:r>
                            <w:r w:rsidR="00096290">
                              <w:t>więk</w:t>
                            </w:r>
                            <w:r w:rsidRPr="00852D68">
                              <w:t>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BCC18" id="Pole tekstowe 26" o:spid="_x0000_s1034" type="#_x0000_t202" alt="Tytuł: Istotna informacja — opis: Produkcja budowlano-montażowa (w cenach bieżących) w kwietniu 2022 r. była o 20,5% większa niż przed rokiem" style="position:absolute;margin-left:417pt;margin-top:1pt;width:135.85pt;height:84pt;z-index:-251538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" filled="f" stroked="f">
                <v:textbox>
                  <w:txbxContent>
                    <w:p w14:paraId="27B06716" w14:textId="40A9CA31" w:rsidR="00852D68" w:rsidRPr="000A42BD" w:rsidRDefault="00852D68" w:rsidP="003510CA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 w:rsidRPr="008B4F33">
                        <w:rPr>
                          <w:spacing w:val="-2"/>
                        </w:rPr>
                        <w:t>Produkcja budo</w:t>
                      </w:r>
                      <w:r w:rsidR="00E74DA8" w:rsidRPr="008B4F33">
                        <w:rPr>
                          <w:spacing w:val="-2"/>
                        </w:rPr>
                        <w:t>wlano-montażowa (w cenach bieżą</w:t>
                      </w:r>
                      <w:r w:rsidRPr="008B4F33">
                        <w:rPr>
                          <w:spacing w:val="-2"/>
                        </w:rPr>
                        <w:t xml:space="preserve">cych) </w:t>
                      </w:r>
                      <w:r w:rsidR="008B4F33">
                        <w:rPr>
                          <w:spacing w:val="-2"/>
                        </w:rPr>
                        <w:br/>
                      </w:r>
                      <w:r w:rsidRPr="00B45011">
                        <w:rPr>
                          <w:spacing w:val="-4"/>
                        </w:rPr>
                        <w:t xml:space="preserve">w </w:t>
                      </w:r>
                      <w:r w:rsidR="00B45011" w:rsidRPr="00B45011">
                        <w:rPr>
                          <w:spacing w:val="-4"/>
                        </w:rPr>
                        <w:t>kwietniu</w:t>
                      </w:r>
                      <w:r w:rsidRPr="00B45011">
                        <w:rPr>
                          <w:spacing w:val="-4"/>
                        </w:rPr>
                        <w:t xml:space="preserve"> 202</w:t>
                      </w:r>
                      <w:r w:rsidR="00C71FD8" w:rsidRPr="00B45011">
                        <w:rPr>
                          <w:spacing w:val="-4"/>
                        </w:rPr>
                        <w:t>2</w:t>
                      </w:r>
                      <w:r w:rsidRPr="00B45011">
                        <w:rPr>
                          <w:spacing w:val="-4"/>
                        </w:rPr>
                        <w:t xml:space="preserve"> r. była o </w:t>
                      </w:r>
                      <w:r w:rsidR="00B45011" w:rsidRPr="00B45011">
                        <w:rPr>
                          <w:spacing w:val="-4"/>
                        </w:rPr>
                        <w:t>20,5</w:t>
                      </w:r>
                      <w:r w:rsidRPr="00B45011">
                        <w:rPr>
                          <w:spacing w:val="-4"/>
                        </w:rPr>
                        <w:t>%</w:t>
                      </w:r>
                      <w:r w:rsidRPr="00852D68">
                        <w:t xml:space="preserve"> </w:t>
                      </w:r>
                      <w:r w:rsidR="00096290">
                        <w:t>więk</w:t>
                      </w:r>
                      <w:r w:rsidRPr="00852D68">
                        <w:t>sza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60F40" w:rsidRPr="00960F40">
        <w:rPr>
          <w:noProof/>
          <w:spacing w:val="-2"/>
          <w:lang w:eastAsia="pl-PL"/>
        </w:rPr>
        <w:t>W okresie styczeń-kwiecień 2022 r. produkcja sprzedana budownictwa osiągnęła wartość 18958,9 mln zł, tj. o 27,4% większą niż w analogicznym okresie 2021 r.</w:t>
      </w:r>
    </w:p>
    <w:p w14:paraId="35A22761" w14:textId="36CDC1FD" w:rsidR="007D25F5" w:rsidRDefault="00960F40" w:rsidP="007D25F5">
      <w:pPr>
        <w:spacing w:line="288" w:lineRule="auto"/>
        <w:rPr>
          <w:noProof/>
          <w:lang w:eastAsia="pl-PL"/>
        </w:rPr>
      </w:pPr>
      <w:r w:rsidRPr="00B45011">
        <w:rPr>
          <w:noProof/>
          <w:spacing w:val="-4"/>
          <w:lang w:eastAsia="pl-PL"/>
        </w:rPr>
        <w:t>Produkcja budowlano-montażowa w kwietniu 2022 r. ukształtowała się na poziomie 1063,8 mln zł</w:t>
      </w:r>
      <w:r w:rsidRPr="00960F40">
        <w:rPr>
          <w:noProof/>
          <w:spacing w:val="-2"/>
          <w:lang w:eastAsia="pl-PL"/>
        </w:rPr>
        <w:t xml:space="preserve"> (w cenach bieżących) i stanowiła 22,3% produkcji sprzedanej budownictwa. W stosunku do po</w:t>
      </w:r>
      <w:r w:rsidR="00B45011">
        <w:rPr>
          <w:noProof/>
          <w:spacing w:val="-2"/>
          <w:lang w:eastAsia="pl-PL"/>
        </w:rPr>
        <w:t>-</w:t>
      </w:r>
      <w:r w:rsidRPr="00960F40">
        <w:rPr>
          <w:noProof/>
          <w:spacing w:val="-2"/>
          <w:lang w:eastAsia="pl-PL"/>
        </w:rPr>
        <w:t>przedniego miesiąca produkcja budowlano-montażowa zwiększyła się o 0,8%, a w porównaniu z kwietniem 2021 r. była większa o 20,5%.</w:t>
      </w:r>
    </w:p>
    <w:p w14:paraId="0B9196BA" w14:textId="0E97D5AA" w:rsidR="00C72CCE" w:rsidRPr="00B45011" w:rsidRDefault="00960F40" w:rsidP="00B45011">
      <w:pPr>
        <w:spacing w:line="288" w:lineRule="auto"/>
        <w:rPr>
          <w:rFonts w:eastAsia="Times New Roman" w:cs="Times New Roman"/>
          <w:noProof/>
          <w:spacing w:val="-8"/>
          <w:szCs w:val="19"/>
          <w:lang w:eastAsia="pl-PL"/>
        </w:rPr>
      </w:pPr>
      <w:r w:rsidRPr="00B45011">
        <w:rPr>
          <w:noProof/>
          <w:spacing w:val="-8"/>
          <w:lang w:eastAsia="pl-PL"/>
        </w:rPr>
        <w:t>W okresie styczeń-kwiecień 2022 r. produkcja budowlano-montażowa ukształtowała się na poziomie 3799,5 mln zł i stanowiła 20,0% produkcji sprzedanej budownictwa (przed rokiem 21,2%). W porówna</w:t>
      </w:r>
      <w:r w:rsidR="00B45011">
        <w:rPr>
          <w:noProof/>
          <w:spacing w:val="-8"/>
          <w:lang w:eastAsia="pl-PL"/>
        </w:rPr>
        <w:t>-</w:t>
      </w:r>
      <w:r w:rsidRPr="00B45011">
        <w:rPr>
          <w:noProof/>
          <w:spacing w:val="-8"/>
          <w:lang w:eastAsia="pl-PL"/>
        </w:rPr>
        <w:t>niu z analogicznym okresem ubiegłego roku produkcja budowlano-montażowa była większa o 20,3%.</w:t>
      </w:r>
    </w:p>
    <w:p w14:paraId="240698D2" w14:textId="63EA5FAA" w:rsidR="007D25F5" w:rsidRPr="007D25F5" w:rsidRDefault="00960F40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960F40">
        <w:rPr>
          <w:rFonts w:eastAsia="Times New Roman" w:cs="Times New Roman"/>
          <w:spacing w:val="-2"/>
          <w:szCs w:val="19"/>
          <w:lang w:eastAsia="pl-PL"/>
        </w:rPr>
        <w:t>Wzrost produkcji w stosunku do analogicznego okresu 2021 r. wystąpił w podmiotach zajmujących się: budową obiektów inżynierii lądowej i wodnej (o 28,4%), budową budynków (o 25,4%) oraz robotami budowlanymi specjalistycznymi (o 0,6%).</w:t>
      </w:r>
    </w:p>
    <w:p w14:paraId="2C217167" w14:textId="056F5B6A" w:rsidR="007D25F5" w:rsidRPr="00D14C65" w:rsidRDefault="00960F40" w:rsidP="00D14C65">
      <w:pPr>
        <w:spacing w:line="288" w:lineRule="auto"/>
        <w:rPr>
          <w:rFonts w:eastAsia="Times New Roman" w:cs="Times New Roman"/>
          <w:spacing w:val="-4"/>
          <w:szCs w:val="19"/>
          <w:lang w:eastAsia="pl-PL"/>
        </w:rPr>
      </w:pPr>
      <w:r w:rsidRPr="00960F40">
        <w:rPr>
          <w:rFonts w:eastAsia="Times New Roman" w:cs="Times New Roman"/>
          <w:spacing w:val="-4"/>
          <w:szCs w:val="19"/>
          <w:lang w:eastAsia="pl-PL"/>
        </w:rPr>
        <w:t>Wydajność pracy, mierzona produkcją na 1 zatrudnionego w budownictwie, w kwietniu 2022 r. wyniosła 92,7 tys. zł i była o 3,6% niższa niż przed miesiącem i o 22,6% wyższa niż w kwietniu 2021 r.</w:t>
      </w:r>
    </w:p>
    <w:p w14:paraId="1A085057" w14:textId="382352FD" w:rsidR="007D25F5" w:rsidRPr="007D25F5" w:rsidRDefault="00852D68" w:rsidP="00676713">
      <w:pPr>
        <w:pStyle w:val="Nagwek1"/>
      </w:pPr>
      <w:r w:rsidRPr="003510CA">
        <w:rPr>
          <w:rFonts w:ascii="Fira Sans" w:hAnsi="Fira Sans"/>
          <w:b/>
          <w:noProof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6B4BA934" wp14:editId="3716B747">
                <wp:simplePos x="0" y="0"/>
                <wp:positionH relativeFrom="column">
                  <wp:posOffset>5270500</wp:posOffset>
                </wp:positionH>
                <wp:positionV relativeFrom="paragraph">
                  <wp:posOffset>167005</wp:posOffset>
                </wp:positionV>
                <wp:extent cx="1725295" cy="1285240"/>
                <wp:effectExtent l="0" t="0" r="0" b="0"/>
                <wp:wrapTight wrapText="bothSides">
                  <wp:wrapPolygon edited="0">
                    <wp:start x="715" y="0"/>
                    <wp:lineTo x="715" y="21130"/>
                    <wp:lineTo x="20749" y="21130"/>
                    <wp:lineTo x="20749" y="0"/>
                    <wp:lineTo x="715" y="0"/>
                  </wp:wrapPolygon>
                </wp:wrapTight>
                <wp:docPr id="27" name="Pole tekstowe 27" descr="Sprzedaż detaliczna (w cenach bieżących) zrealizowana przez przedsiębiorstwa handlowe i niehandlowe w kwietniu 2022 r. była o 48,8% większa niż w kwietniu 2021 r.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85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50D5DE" w14:textId="2C51BC0F" w:rsidR="00852D68" w:rsidRPr="000A42BD" w:rsidRDefault="00852D68" w:rsidP="003510CA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 w:rsidRPr="00B45011">
                              <w:rPr>
                                <w:spacing w:val="-2"/>
                              </w:rPr>
                              <w:t xml:space="preserve">Sprzedaż detaliczna (w cenach bieżących) zrealizowana przez przedsiębiorstwa handlowe </w:t>
                            </w:r>
                            <w:r w:rsidR="00E74DA8" w:rsidRPr="00B45011">
                              <w:rPr>
                                <w:spacing w:val="-2"/>
                              </w:rPr>
                              <w:t xml:space="preserve">i niehandlowe w </w:t>
                            </w:r>
                            <w:r w:rsidR="00B45011" w:rsidRPr="00B45011">
                              <w:rPr>
                                <w:spacing w:val="-2"/>
                              </w:rPr>
                              <w:t>kwietniu</w:t>
                            </w:r>
                            <w:r w:rsidR="00E74DA8" w:rsidRPr="00B45011">
                              <w:rPr>
                                <w:spacing w:val="-2"/>
                              </w:rPr>
                              <w:t xml:space="preserve"> 2022 r. była o </w:t>
                            </w:r>
                            <w:r w:rsidR="00B45011" w:rsidRPr="00B45011">
                              <w:rPr>
                                <w:spacing w:val="-2"/>
                              </w:rPr>
                              <w:t>48,4</w:t>
                            </w:r>
                            <w:r w:rsidR="00E74DA8" w:rsidRPr="00B45011">
                              <w:rPr>
                                <w:spacing w:val="-2"/>
                              </w:rPr>
                              <w:t xml:space="preserve">% </w:t>
                            </w:r>
                            <w:r w:rsidRPr="00B45011">
                              <w:rPr>
                                <w:spacing w:val="-2"/>
                              </w:rPr>
                              <w:t xml:space="preserve">większa niż w </w:t>
                            </w:r>
                            <w:r w:rsidR="00B45011" w:rsidRPr="00B45011">
                              <w:rPr>
                                <w:spacing w:val="-2"/>
                              </w:rPr>
                              <w:t>kwietniu</w:t>
                            </w:r>
                            <w:r w:rsidRPr="00B45011">
                              <w:rPr>
                                <w:spacing w:val="-2"/>
                              </w:rPr>
                              <w:t xml:space="preserve"> 202</w:t>
                            </w:r>
                            <w:r w:rsidR="00E74DA8" w:rsidRPr="00B45011">
                              <w:rPr>
                                <w:spacing w:val="-2"/>
                              </w:rPr>
                              <w:t>1</w:t>
                            </w:r>
                            <w:r w:rsidRPr="00B45011">
                              <w:rPr>
                                <w:spacing w:val="-2"/>
                              </w:rPr>
                              <w:t xml:space="preserve"> r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BA934" id="Pole tekstowe 27" o:spid="_x0000_s1035" type="#_x0000_t202" alt="Tytuł: Istotna informacja — opis: Sprzedaż detaliczna (w cenach bieżących) zrealizowana przez przedsiębiorstwa handlowe i niehandlowe w kwietniu 2022 r. była o 48,8% większa niż w kwietniu 2021 r." style="position:absolute;margin-left:415pt;margin-top:13.15pt;width:135.85pt;height:101.2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" filled="f" stroked="f">
                <v:textbox>
                  <w:txbxContent>
                    <w:p w14:paraId="4850D5DE" w14:textId="2C51BC0F" w:rsidR="00852D68" w:rsidRPr="000A42BD" w:rsidRDefault="00852D68" w:rsidP="003510CA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 w:rsidRPr="00B45011">
                        <w:rPr>
                          <w:spacing w:val="-2"/>
                        </w:rPr>
                        <w:t xml:space="preserve">Sprzedaż detaliczna (w cenach bieżących) zrealizowana przez przedsiębiorstwa handlowe </w:t>
                      </w:r>
                      <w:r w:rsidR="00E74DA8" w:rsidRPr="00B45011">
                        <w:rPr>
                          <w:spacing w:val="-2"/>
                        </w:rPr>
                        <w:t xml:space="preserve">i niehandlowe w </w:t>
                      </w:r>
                      <w:r w:rsidR="00B45011" w:rsidRPr="00B45011">
                        <w:rPr>
                          <w:spacing w:val="-2"/>
                        </w:rPr>
                        <w:t>kwietniu</w:t>
                      </w:r>
                      <w:r w:rsidR="00E74DA8" w:rsidRPr="00B45011">
                        <w:rPr>
                          <w:spacing w:val="-2"/>
                        </w:rPr>
                        <w:t xml:space="preserve"> 2022 r. była o </w:t>
                      </w:r>
                      <w:r w:rsidR="00B45011" w:rsidRPr="00B45011">
                        <w:rPr>
                          <w:spacing w:val="-2"/>
                        </w:rPr>
                        <w:t>48,4</w:t>
                      </w:r>
                      <w:r w:rsidR="00E74DA8" w:rsidRPr="00B45011">
                        <w:rPr>
                          <w:spacing w:val="-2"/>
                        </w:rPr>
                        <w:t xml:space="preserve">% </w:t>
                      </w:r>
                      <w:r w:rsidRPr="00B45011">
                        <w:rPr>
                          <w:spacing w:val="-2"/>
                        </w:rPr>
                        <w:t xml:space="preserve">większa niż w </w:t>
                      </w:r>
                      <w:r w:rsidR="00B45011" w:rsidRPr="00B45011">
                        <w:rPr>
                          <w:spacing w:val="-2"/>
                        </w:rPr>
                        <w:t>kwietniu</w:t>
                      </w:r>
                      <w:r w:rsidRPr="00B45011">
                        <w:rPr>
                          <w:spacing w:val="-2"/>
                        </w:rPr>
                        <w:t xml:space="preserve"> 202</w:t>
                      </w:r>
                      <w:r w:rsidR="00E74DA8" w:rsidRPr="00B45011">
                        <w:rPr>
                          <w:spacing w:val="-2"/>
                        </w:rPr>
                        <w:t>1</w:t>
                      </w:r>
                      <w:r w:rsidRPr="00B45011">
                        <w:rPr>
                          <w:spacing w:val="-2"/>
                        </w:rPr>
                        <w:t xml:space="preserve"> r</w:t>
                      </w:r>
                      <w: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5F5" w:rsidRPr="003510CA">
        <w:rPr>
          <w:rFonts w:ascii="Fira Sans" w:hAnsi="Fira Sans"/>
          <w:b/>
        </w:rPr>
        <w:t>Handel</w:t>
      </w:r>
    </w:p>
    <w:p w14:paraId="4BFEDDDD" w14:textId="7BFAB4FF" w:rsidR="007D25F5" w:rsidRPr="007D25F5" w:rsidRDefault="00960F40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960F40">
        <w:rPr>
          <w:rFonts w:eastAsia="Times New Roman" w:cs="Times New Roman"/>
          <w:szCs w:val="19"/>
          <w:lang w:eastAsia="pl-PL"/>
        </w:rPr>
        <w:t>Sprzedaż detaliczna zrealizowana przez przedsiębiorstwa handlowe i niehandlowe w kwietniu 2022 r. (w cenach bieżących) była o 3,8% większa niż w marcu 2022 r. oraz o 48,4% wyższa w odniesieniu do kwietnia 2021 r.</w:t>
      </w:r>
    </w:p>
    <w:p w14:paraId="45816432" w14:textId="44FBF14E" w:rsidR="00962A86" w:rsidRPr="003D31C4" w:rsidRDefault="00960F40" w:rsidP="003D31C4">
      <w:pPr>
        <w:spacing w:line="288" w:lineRule="auto"/>
        <w:rPr>
          <w:rFonts w:eastAsia="Times New Roman" w:cs="Times New Roman"/>
          <w:spacing w:val="-8"/>
          <w:szCs w:val="19"/>
          <w:lang w:eastAsia="pl-PL"/>
        </w:rPr>
      </w:pPr>
      <w:r w:rsidRPr="009431A2">
        <w:rPr>
          <w:rFonts w:eastAsia="Times New Roman" w:cs="Times New Roman"/>
          <w:spacing w:val="-7"/>
          <w:szCs w:val="19"/>
          <w:lang w:eastAsia="pl-PL"/>
        </w:rPr>
        <w:t xml:space="preserve">W porównaniu z marcem 2022 r. większa była pozostała sprzedaż detaliczna </w:t>
      </w:r>
      <w:r w:rsidR="00B45011" w:rsidRPr="009431A2">
        <w:rPr>
          <w:rFonts w:eastAsia="Times New Roman" w:cs="Times New Roman"/>
          <w:spacing w:val="-7"/>
          <w:szCs w:val="19"/>
          <w:lang w:eastAsia="pl-PL"/>
        </w:rPr>
        <w:t xml:space="preserve">prowadzona </w:t>
      </w:r>
      <w:r w:rsidRPr="009431A2">
        <w:rPr>
          <w:rFonts w:eastAsia="Times New Roman" w:cs="Times New Roman"/>
          <w:spacing w:val="-7"/>
          <w:szCs w:val="19"/>
          <w:lang w:eastAsia="pl-PL"/>
        </w:rPr>
        <w:t xml:space="preserve">w niewyspecjalizowanych sklepach (o 22,8%), sprzedaż tekstyliów, odzieży, obuwia (o 20,8%), sprzedaż żywności, napojów i wyrobów tytoniowych (o 9,1%), sprzedaż prasy, książek, pozostała sprzedaż w wyspecjalizowanych sklepach (o 8,8%), sprzedaż farmaceutyków, kosmetyków, sprzętu ortopedycznego </w:t>
      </w:r>
      <w:r w:rsidR="009431A2">
        <w:rPr>
          <w:rFonts w:eastAsia="Times New Roman" w:cs="Times New Roman"/>
          <w:spacing w:val="-7"/>
          <w:szCs w:val="19"/>
          <w:lang w:eastAsia="pl-PL"/>
        </w:rPr>
        <w:br/>
      </w:r>
      <w:r w:rsidRPr="009431A2">
        <w:rPr>
          <w:rFonts w:eastAsia="Times New Roman" w:cs="Times New Roman"/>
          <w:spacing w:val="-7"/>
          <w:szCs w:val="19"/>
          <w:lang w:eastAsia="pl-PL"/>
        </w:rPr>
        <w:t xml:space="preserve">(o 8,1%), sprzedaż paliw stałych, ciekłych i gazowych (o 3,9%), sprzedaż mebli, </w:t>
      </w:r>
      <w:r w:rsidR="009431A2" w:rsidRPr="009431A2">
        <w:rPr>
          <w:rFonts w:eastAsia="Times New Roman" w:cs="Times New Roman"/>
          <w:spacing w:val="-7"/>
          <w:szCs w:val="19"/>
          <w:lang w:eastAsia="pl-PL"/>
        </w:rPr>
        <w:t xml:space="preserve">RTV, AGD </w:t>
      </w:r>
      <w:r w:rsidRPr="009431A2">
        <w:rPr>
          <w:rFonts w:eastAsia="Times New Roman" w:cs="Times New Roman"/>
          <w:spacing w:val="-7"/>
          <w:szCs w:val="19"/>
          <w:lang w:eastAsia="pl-PL"/>
        </w:rPr>
        <w:t>(o 0,4%).</w:t>
      </w:r>
      <w:r w:rsidR="00D344FD">
        <w:rPr>
          <w:rFonts w:eastAsia="Times New Roman" w:cs="Times New Roman"/>
          <w:spacing w:val="-7"/>
          <w:szCs w:val="19"/>
          <w:lang w:eastAsia="pl-PL"/>
        </w:rPr>
        <w:t xml:space="preserve"> </w:t>
      </w:r>
      <w:r w:rsidRPr="00960F40">
        <w:rPr>
          <w:rFonts w:eastAsia="Times New Roman" w:cs="Times New Roman"/>
          <w:spacing w:val="-8"/>
          <w:szCs w:val="19"/>
          <w:lang w:eastAsia="pl-PL"/>
        </w:rPr>
        <w:t>Natomiast mniejsza była sprzedaż pojazdów samochodowych, motocykli, części (o 8,2%), pozostała sprzedaż (o 7,5%), sprzedaż detaliczna prowadzona przez domy sprzedaży wysyłkowej (o 1,5%).</w:t>
      </w:r>
    </w:p>
    <w:p w14:paraId="4046DA6C" w14:textId="3602A09D" w:rsidR="007D25F5" w:rsidRPr="00B7035D" w:rsidRDefault="009431A2" w:rsidP="00B7035D">
      <w:pPr>
        <w:spacing w:line="288" w:lineRule="auto"/>
        <w:rPr>
          <w:rFonts w:eastAsia="Times New Roman" w:cs="Times New Roman"/>
          <w:spacing w:val="-7"/>
          <w:szCs w:val="19"/>
          <w:lang w:eastAsia="pl-PL"/>
        </w:rPr>
      </w:pPr>
      <w:r w:rsidRPr="00B7035D">
        <w:rPr>
          <w:rFonts w:eastAsia="Times New Roman" w:cs="Times New Roman"/>
          <w:spacing w:val="-7"/>
          <w:szCs w:val="19"/>
          <w:lang w:eastAsia="pl-PL"/>
        </w:rPr>
        <w:t xml:space="preserve">W stosunku do kwietnia 2021 r. większa była sprzedaż tekstyliów, odzieży, obuwia (o 267,0%), pozostała sprzedaż detaliczna prowadzona w niewyspecjalizowanych sklepach (o 250,3%), sprzedaż prasy, książek, pozostała sprzedaż w wyspecjalizowanych sklepach (o 84,8%), sprzedaż paliw stałych, ciekłych i gazowych (o 69,6%), sprzedaż farmaceutyków, kosmetyków, sprzętu ortopedycznego (o 51,5%), sprzedaż mebli, RTV, AGD (o 41,4%), sprzedaż żywności, napojów i wyrobów tytoniowych (o 31,4%), pozostała sprzedaż (o 17,9%), sprzedaż detaliczna prowadzona przez domy sprzedaży wysyłkowej </w:t>
      </w:r>
      <w:r w:rsidR="00B7035D">
        <w:rPr>
          <w:rFonts w:eastAsia="Times New Roman" w:cs="Times New Roman"/>
          <w:spacing w:val="-7"/>
          <w:szCs w:val="19"/>
          <w:lang w:eastAsia="pl-PL"/>
        </w:rPr>
        <w:br/>
      </w:r>
      <w:r w:rsidRPr="00B7035D">
        <w:rPr>
          <w:rFonts w:eastAsia="Times New Roman" w:cs="Times New Roman"/>
          <w:spacing w:val="-7"/>
          <w:szCs w:val="19"/>
          <w:lang w:eastAsia="pl-PL"/>
        </w:rPr>
        <w:t>(o 5,9%).</w:t>
      </w:r>
      <w:r w:rsidR="00B7035D" w:rsidRPr="00B7035D">
        <w:rPr>
          <w:rFonts w:eastAsia="Times New Roman" w:cs="Times New Roman"/>
          <w:spacing w:val="-7"/>
          <w:szCs w:val="19"/>
          <w:lang w:eastAsia="pl-PL"/>
        </w:rPr>
        <w:t xml:space="preserve"> </w:t>
      </w:r>
      <w:r w:rsidR="00960F40" w:rsidRPr="00B7035D">
        <w:rPr>
          <w:rFonts w:eastAsia="Times New Roman" w:cs="Times New Roman"/>
          <w:spacing w:val="-7"/>
          <w:szCs w:val="19"/>
          <w:lang w:eastAsia="pl-PL"/>
        </w:rPr>
        <w:t>Natomiast zmniejszyła się sprzedaż pojazdów samochodowych, motocykli, części (o 19,1%).</w:t>
      </w:r>
    </w:p>
    <w:p w14:paraId="51E15553" w14:textId="77777777" w:rsidR="00D344FD" w:rsidRDefault="00960F40" w:rsidP="009431A2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960F40">
        <w:rPr>
          <w:rFonts w:eastAsia="Times New Roman" w:cs="Times New Roman"/>
          <w:szCs w:val="19"/>
          <w:lang w:eastAsia="pl-PL"/>
        </w:rPr>
        <w:t>W okresie styczeń-kwiecień 2022 r. w porównaniu z analogicznym okresem 2021 r. sprzedaż detaliczna zwiększyła się o 26,3%.</w:t>
      </w:r>
      <w:r w:rsidR="00D344FD">
        <w:rPr>
          <w:rFonts w:eastAsia="Times New Roman" w:cs="Times New Roman"/>
          <w:szCs w:val="19"/>
          <w:lang w:eastAsia="pl-PL"/>
        </w:rPr>
        <w:t xml:space="preserve"> </w:t>
      </w:r>
    </w:p>
    <w:p w14:paraId="302EDD75" w14:textId="4C933F26" w:rsidR="007D25F5" w:rsidRPr="009431A2" w:rsidRDefault="00DB0233" w:rsidP="009431A2">
      <w:pPr>
        <w:spacing w:line="288" w:lineRule="auto"/>
        <w:rPr>
          <w:rFonts w:eastAsia="Times New Roman" w:cs="Times New Roman"/>
          <w:noProof/>
          <w:spacing w:val="-6"/>
          <w:szCs w:val="19"/>
          <w:lang w:eastAsia="pl-PL"/>
        </w:rPr>
      </w:pPr>
      <w:r w:rsidRPr="009431A2">
        <w:rPr>
          <w:rFonts w:eastAsia="Times New Roman" w:cs="Times New Roman"/>
          <w:noProof/>
          <w:spacing w:val="-6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31A74A27" wp14:editId="25B02CB4">
                <wp:simplePos x="0" y="0"/>
                <wp:positionH relativeFrom="page">
                  <wp:posOffset>5727700</wp:posOffset>
                </wp:positionH>
                <wp:positionV relativeFrom="paragraph">
                  <wp:posOffset>0</wp:posOffset>
                </wp:positionV>
                <wp:extent cx="1725295" cy="991870"/>
                <wp:effectExtent l="0" t="0" r="0" b="0"/>
                <wp:wrapTight wrapText="bothSides">
                  <wp:wrapPolygon edited="0">
                    <wp:start x="715" y="0"/>
                    <wp:lineTo x="715" y="21157"/>
                    <wp:lineTo x="20749" y="21157"/>
                    <wp:lineTo x="20749" y="0"/>
                    <wp:lineTo x="715" y="0"/>
                  </wp:wrapPolygon>
                </wp:wrapTight>
                <wp:docPr id="28" name="Pole tekstowe 28" descr="Sprzedaż hurtowa (w cenach bieżących) w przedsiębiorstwach handlowych była o 30,6% wyższa niż przed rokiem&#10;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91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43DA30" w14:textId="1F6D88E2" w:rsidR="00852D68" w:rsidRPr="000A42BD" w:rsidRDefault="00852D68" w:rsidP="003510CA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>
                              <w:t>Sprzedaż hurtowa (w c</w:t>
                            </w:r>
                            <w:r w:rsidR="00E74DA8">
                              <w:t>enach bieżących) w przedsiębior</w:t>
                            </w:r>
                            <w:r>
                              <w:t xml:space="preserve">stwach handlowych była </w:t>
                            </w:r>
                            <w:r w:rsidR="0093450F">
                              <w:br/>
                            </w:r>
                            <w:r>
                              <w:t xml:space="preserve">o </w:t>
                            </w:r>
                            <w:r w:rsidR="009431A2">
                              <w:t>30,6</w:t>
                            </w:r>
                            <w:r>
                              <w:t>% wyższa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74A27" id="Pole tekstowe 28" o:spid="_x0000_s1036" type="#_x0000_t202" alt="Tytuł: Istotna informacja — opis: Sprzedaż hurtowa (w cenach bieżących) w przedsiębiorstwach handlowych była o 30,6% wyższa niż przed rokiem&#10;" style="position:absolute;margin-left:451pt;margin-top:0;width:135.85pt;height:78.1pt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" filled="f" stroked="f">
                <v:textbox>
                  <w:txbxContent>
                    <w:p w14:paraId="5E43DA30" w14:textId="1F6D88E2" w:rsidR="00852D68" w:rsidRPr="000A42BD" w:rsidRDefault="00852D68" w:rsidP="003510CA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>
                        <w:t>Sprzedaż hurtowa (w c</w:t>
                      </w:r>
                      <w:r w:rsidR="00E74DA8">
                        <w:t>enach bieżących) w przedsiębior</w:t>
                      </w:r>
                      <w:r>
                        <w:t xml:space="preserve">stwach handlowych była </w:t>
                      </w:r>
                      <w:r w:rsidR="0093450F">
                        <w:br/>
                      </w:r>
                      <w:r>
                        <w:t xml:space="preserve">o </w:t>
                      </w:r>
                      <w:r w:rsidR="009431A2">
                        <w:t>30,6</w:t>
                      </w:r>
                      <w:r>
                        <w:t>% wyższa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60F40" w:rsidRPr="009431A2">
        <w:rPr>
          <w:rFonts w:eastAsia="Times New Roman" w:cs="Times New Roman"/>
          <w:noProof/>
          <w:spacing w:val="-6"/>
          <w:szCs w:val="19"/>
          <w:lang w:eastAsia="pl-PL"/>
        </w:rPr>
        <w:t xml:space="preserve">Sprzedaż hurtowa w przedsiębiorstwach handlowych w kwietniu 2022 r. (w cenach bieżących) była </w:t>
      </w:r>
      <w:r w:rsidR="009431A2" w:rsidRPr="009431A2">
        <w:rPr>
          <w:rFonts w:eastAsia="Times New Roman" w:cs="Times New Roman"/>
          <w:noProof/>
          <w:spacing w:val="-6"/>
          <w:szCs w:val="19"/>
          <w:lang w:eastAsia="pl-PL"/>
        </w:rPr>
        <w:br/>
      </w:r>
      <w:r w:rsidR="00960F40" w:rsidRPr="009431A2">
        <w:rPr>
          <w:rFonts w:eastAsia="Times New Roman" w:cs="Times New Roman"/>
          <w:noProof/>
          <w:spacing w:val="-6"/>
          <w:szCs w:val="19"/>
          <w:lang w:eastAsia="pl-PL"/>
        </w:rPr>
        <w:t>o 9,9% mniejsza w stosunku do poprzedniego miesiąca oraz o 30,6% wyższa w odniesieniu do kwiet</w:t>
      </w:r>
      <w:r w:rsidR="009431A2" w:rsidRPr="009431A2">
        <w:rPr>
          <w:rFonts w:eastAsia="Times New Roman" w:cs="Times New Roman"/>
          <w:noProof/>
          <w:spacing w:val="-6"/>
          <w:szCs w:val="19"/>
          <w:lang w:eastAsia="pl-PL"/>
        </w:rPr>
        <w:t>-</w:t>
      </w:r>
      <w:r w:rsidR="00960F40" w:rsidRPr="009431A2">
        <w:rPr>
          <w:rFonts w:eastAsia="Times New Roman" w:cs="Times New Roman"/>
          <w:noProof/>
          <w:spacing w:val="-6"/>
          <w:szCs w:val="19"/>
          <w:lang w:eastAsia="pl-PL"/>
        </w:rPr>
        <w:t>nia 2021 r., a w przedsiębiorstwach hurtowych była odpowiednio niższa o 10,2% i wyższa o 47,2%.</w:t>
      </w:r>
    </w:p>
    <w:p w14:paraId="4DCF8D2A" w14:textId="0975513A" w:rsidR="00577A40" w:rsidRPr="0093450F" w:rsidRDefault="00960F40" w:rsidP="0093450F">
      <w:pPr>
        <w:spacing w:line="288" w:lineRule="auto"/>
        <w:rPr>
          <w:rFonts w:eastAsia="Times New Roman" w:cs="Times New Roman"/>
          <w:spacing w:val="-4"/>
          <w:szCs w:val="19"/>
          <w:lang w:eastAsia="pl-PL"/>
        </w:rPr>
      </w:pPr>
      <w:r w:rsidRPr="00960F40">
        <w:rPr>
          <w:rFonts w:eastAsia="Times New Roman" w:cs="Times New Roman"/>
          <w:spacing w:val="-4"/>
          <w:szCs w:val="19"/>
          <w:lang w:eastAsia="pl-PL"/>
        </w:rPr>
        <w:t>W okresie styczeń-kwiecień 2022 r. jednostki handlowe zrealizowały sprzedaż hurtową o 28,1% większą niż przed rokiem, natomiast przedsiębiorstwa hurtowe o 40,4% wyższą.</w:t>
      </w:r>
    </w:p>
    <w:p w14:paraId="65E0C266" w14:textId="5F6979BC" w:rsidR="007D25F5" w:rsidRDefault="007D25F5" w:rsidP="00676713">
      <w:pPr>
        <w:pStyle w:val="Nagwek1"/>
        <w:rPr>
          <w:rFonts w:ascii="Fira Sans" w:hAnsi="Fira Sans"/>
          <w:b/>
        </w:rPr>
      </w:pPr>
      <w:r w:rsidRPr="003510CA">
        <w:rPr>
          <w:rFonts w:ascii="Fira Sans" w:hAnsi="Fira Sans"/>
          <w:b/>
        </w:rPr>
        <w:lastRenderedPageBreak/>
        <w:t>Budownictwo mieszkaniowe</w:t>
      </w:r>
      <w:r w:rsidR="008C0962">
        <w:rPr>
          <w:rStyle w:val="Odwoanieprzypisudolnego"/>
          <w:rFonts w:ascii="Fira Sans" w:hAnsi="Fira Sans"/>
          <w:b/>
        </w:rPr>
        <w:footnoteReference w:id="1"/>
      </w:r>
    </w:p>
    <w:p w14:paraId="6C7002ED" w14:textId="63303260" w:rsidR="006F282F" w:rsidRPr="006F282F" w:rsidRDefault="00960F40" w:rsidP="006F282F">
      <w:pPr>
        <w:rPr>
          <w:lang w:eastAsia="pl-PL"/>
        </w:rPr>
      </w:pPr>
      <w:r w:rsidRPr="00960F40">
        <w:rPr>
          <w:lang w:eastAsia="pl-PL"/>
        </w:rPr>
        <w:t xml:space="preserve">Według wstępnych danych, w Warszawie w kwietniu 2022 r. przekazano do użytkowania 1821 mieszkań, tj. o </w:t>
      </w:r>
      <w:r w:rsidR="00417654">
        <w:rPr>
          <w:lang w:eastAsia="pl-PL"/>
        </w:rPr>
        <w:t>38,8</w:t>
      </w:r>
      <w:r w:rsidRPr="00960F40">
        <w:rPr>
          <w:lang w:eastAsia="pl-PL"/>
        </w:rPr>
        <w:t>% więcej niż przed rokiem.</w:t>
      </w:r>
    </w:p>
    <w:p w14:paraId="7AC4F439" w14:textId="31CDB8CB" w:rsidR="007D25F5" w:rsidRPr="009431A2" w:rsidRDefault="00960F40" w:rsidP="00E77B24">
      <w:pPr>
        <w:spacing w:line="288" w:lineRule="auto"/>
        <w:rPr>
          <w:rFonts w:eastAsia="Times New Roman" w:cs="Times New Roman"/>
          <w:spacing w:val="-6"/>
          <w:szCs w:val="19"/>
          <w:lang w:eastAsia="pl-PL"/>
        </w:rPr>
      </w:pPr>
      <w:r w:rsidRPr="00960F40">
        <w:rPr>
          <w:rFonts w:eastAsia="Times New Roman" w:cs="Times New Roman"/>
          <w:spacing w:val="-4"/>
          <w:szCs w:val="19"/>
          <w:lang w:eastAsia="pl-PL"/>
        </w:rPr>
        <w:t xml:space="preserve">W okresie styczeń–kwiecień 2022 r. oddano do użytkowania 4476 mieszkań (o 19,9% mniej niż </w:t>
      </w:r>
      <w:r w:rsidR="009431A2">
        <w:rPr>
          <w:rFonts w:eastAsia="Times New Roman" w:cs="Times New Roman"/>
          <w:spacing w:val="-4"/>
          <w:szCs w:val="19"/>
          <w:lang w:eastAsia="pl-PL"/>
        </w:rPr>
        <w:br/>
      </w:r>
      <w:r w:rsidRPr="00960F40">
        <w:rPr>
          <w:rFonts w:eastAsia="Times New Roman" w:cs="Times New Roman"/>
          <w:spacing w:val="-4"/>
          <w:szCs w:val="19"/>
          <w:lang w:eastAsia="pl-PL"/>
        </w:rPr>
        <w:t xml:space="preserve">w analogicznym okresie 2021 r.), a w województwie mazowieckim 13301 mieszkań, tj. o </w:t>
      </w:r>
      <w:r w:rsidR="00417654">
        <w:rPr>
          <w:rFonts w:eastAsia="Times New Roman" w:cs="Times New Roman"/>
          <w:spacing w:val="-4"/>
          <w:szCs w:val="19"/>
          <w:lang w:eastAsia="pl-PL"/>
        </w:rPr>
        <w:t>1,6</w:t>
      </w:r>
      <w:r w:rsidRPr="00960F40">
        <w:rPr>
          <w:rFonts w:eastAsia="Times New Roman" w:cs="Times New Roman"/>
          <w:spacing w:val="-4"/>
          <w:szCs w:val="19"/>
          <w:lang w:eastAsia="pl-PL"/>
        </w:rPr>
        <w:t>% więcej niż w okresie styczeń–kwiecień 2021 r. Spadek liczby oddanych mieszkań odnotowano w budownictwie przeznaczonym na sprzedaż lub wynajem z 5184 do 3731, tj. o 28,0% mniej. Natomiast wzrost wystąpił w budownictwie indywidualnym z 24</w:t>
      </w:r>
      <w:r w:rsidR="00417654">
        <w:rPr>
          <w:rFonts w:eastAsia="Times New Roman" w:cs="Times New Roman"/>
          <w:spacing w:val="-4"/>
          <w:szCs w:val="19"/>
          <w:lang w:eastAsia="pl-PL"/>
        </w:rPr>
        <w:t>3</w:t>
      </w:r>
      <w:r w:rsidRPr="00960F40">
        <w:rPr>
          <w:rFonts w:eastAsia="Times New Roman" w:cs="Times New Roman"/>
          <w:spacing w:val="-4"/>
          <w:szCs w:val="19"/>
          <w:lang w:eastAsia="pl-PL"/>
        </w:rPr>
        <w:t xml:space="preserve"> do 307, tj. o 2</w:t>
      </w:r>
      <w:r w:rsidR="00417654">
        <w:rPr>
          <w:rFonts w:eastAsia="Times New Roman" w:cs="Times New Roman"/>
          <w:spacing w:val="-4"/>
          <w:szCs w:val="19"/>
          <w:lang w:eastAsia="pl-PL"/>
        </w:rPr>
        <w:t>6</w:t>
      </w:r>
      <w:r w:rsidRPr="00960F40">
        <w:rPr>
          <w:rFonts w:eastAsia="Times New Roman" w:cs="Times New Roman"/>
          <w:spacing w:val="-4"/>
          <w:szCs w:val="19"/>
          <w:lang w:eastAsia="pl-PL"/>
        </w:rPr>
        <w:t xml:space="preserve">,3% więcej. </w:t>
      </w:r>
      <w:r w:rsidRPr="009431A2">
        <w:rPr>
          <w:rFonts w:eastAsia="Times New Roman" w:cs="Times New Roman"/>
          <w:spacing w:val="-6"/>
          <w:szCs w:val="19"/>
          <w:lang w:eastAsia="pl-PL"/>
        </w:rPr>
        <w:t>Ponadto w okresie styczeń–kwiecień 2022 r. oddano do użytkowania 438 mieszkań w budownictwie spółdzielczym.</w:t>
      </w:r>
    </w:p>
    <w:p w14:paraId="70DA2F0E" w14:textId="68016DE0" w:rsidR="007D25F5" w:rsidRPr="007D25F5" w:rsidRDefault="009431A2" w:rsidP="00676713">
      <w:pPr>
        <w:pStyle w:val="Tytuwykresu0"/>
        <w:spacing w:line="240" w:lineRule="auto"/>
      </w:pPr>
      <w:r w:rsidRPr="009431A2">
        <w:rPr>
          <w:szCs w:val="19"/>
        </w:rPr>
        <w:drawing>
          <wp:anchor distT="0" distB="0" distL="114300" distR="114300" simplePos="0" relativeHeight="251811840" behindDoc="0" locked="0" layoutInCell="1" allowOverlap="1" wp14:anchorId="0E96CB54" wp14:editId="64FC3728">
            <wp:simplePos x="0" y="0"/>
            <wp:positionH relativeFrom="column">
              <wp:posOffset>542925</wp:posOffset>
            </wp:positionH>
            <wp:positionV relativeFrom="paragraph">
              <wp:posOffset>321622</wp:posOffset>
            </wp:positionV>
            <wp:extent cx="4364990" cy="1759585"/>
            <wp:effectExtent l="0" t="0" r="0" b="0"/>
            <wp:wrapTopAndBottom/>
            <wp:docPr id="38" name="Obraz 38" descr="Na wykresie linią niebieską zaprezentowano liczbę mieszkań oddanych do użytkowania w miesiącach 2021 roku, a granatową 2022 roku. Dane do wykresu dostępne są w załączonym pliku excel." title="Wykres 4. Mieszkania oddane do użytk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Moje dokumenty\Publikacje\Sygnalne\Statystyka Warszawy\2022\04\wykresy\mieszkani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990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25F5" w:rsidRPr="003510CA">
        <w:rPr>
          <w:rFonts w:ascii="Fira Sans" w:hAnsi="Fira Sans"/>
        </w:rPr>
        <w:t>Wykres 4. Mieszkania oddane do użytkowa</w:t>
      </w:r>
      <w:r w:rsidR="007D25F5" w:rsidRPr="007D25F5">
        <w:t>nia</w:t>
      </w:r>
    </w:p>
    <w:p w14:paraId="7D4C3221" w14:textId="3F818CC0" w:rsidR="007D25F5" w:rsidRPr="007D25F5" w:rsidRDefault="0093450F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966C9A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84192" behindDoc="1" locked="0" layoutInCell="1" allowOverlap="1" wp14:anchorId="7B097F88" wp14:editId="55DAB639">
                <wp:simplePos x="0" y="0"/>
                <wp:positionH relativeFrom="column">
                  <wp:posOffset>5286375</wp:posOffset>
                </wp:positionH>
                <wp:positionV relativeFrom="paragraph">
                  <wp:posOffset>1819275</wp:posOffset>
                </wp:positionV>
                <wp:extent cx="1725295" cy="1133475"/>
                <wp:effectExtent l="0" t="0" r="0" b="0"/>
                <wp:wrapTight wrapText="bothSides">
                  <wp:wrapPolygon edited="0">
                    <wp:start x="715" y="0"/>
                    <wp:lineTo x="715" y="21055"/>
                    <wp:lineTo x="20749" y="21055"/>
                    <wp:lineTo x="20749" y="0"/>
                    <wp:lineTo x="715" y="0"/>
                  </wp:wrapPolygon>
                </wp:wrapTight>
                <wp:docPr id="29" name="Pole tekstowe 29" descr="W okresie styczeń–kwiecień 2022 r. rozpoczęto budowę 5168 mieszkań, tj. o 21,0% więcej niż w analogicznym okresie poprzedniego roku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D87EB1" w14:textId="58CB7752" w:rsidR="00852D68" w:rsidRPr="000A42BD" w:rsidRDefault="00852D68" w:rsidP="009E265D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 w:rsidRPr="00852D68">
                              <w:t xml:space="preserve">W </w:t>
                            </w:r>
                            <w:r w:rsidR="00DD44AE">
                              <w:t>okresie styczeń–</w:t>
                            </w:r>
                            <w:r w:rsidR="00256706">
                              <w:t xml:space="preserve">kwiecień </w:t>
                            </w:r>
                            <w:r w:rsidRPr="00852D68">
                              <w:t>202</w:t>
                            </w:r>
                            <w:r w:rsidR="00E74DA8">
                              <w:t>2</w:t>
                            </w:r>
                            <w:r w:rsidRPr="00852D68">
                              <w:t xml:space="preserve"> r. rozpoczęto budowę </w:t>
                            </w:r>
                            <w:r w:rsidR="00256706">
                              <w:t>5168</w:t>
                            </w:r>
                            <w:r w:rsidRPr="00852D68">
                              <w:t xml:space="preserve"> mieszkań, tj. o </w:t>
                            </w:r>
                            <w:r w:rsidR="00256706">
                              <w:t>21,0</w:t>
                            </w:r>
                            <w:r w:rsidRPr="00852D68">
                              <w:t xml:space="preserve">% </w:t>
                            </w:r>
                            <w:r w:rsidR="00DD44AE">
                              <w:t>więcej</w:t>
                            </w:r>
                            <w:r w:rsidRPr="00852D68">
                              <w:t xml:space="preserve"> niż w analogicznym okresie 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97F88" id="Pole tekstowe 29" o:spid="_x0000_s1037" type="#_x0000_t202" alt="Tytuł: Istotna informacja — opis: W okresie styczeń–kwiecień 2022 r. rozpoczęto budowę 5168 mieszkań, tj. o 21,0% więcej niż w analogicznym okresie poprzedniego roku" style="position:absolute;margin-left:416.25pt;margin-top:143.25pt;width:135.85pt;height:89.25pt;z-index:-251532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" filled="f" stroked="f">
                <v:textbox>
                  <w:txbxContent>
                    <w:p w14:paraId="09D87EB1" w14:textId="58CB7752" w:rsidR="00852D68" w:rsidRPr="000A42BD" w:rsidRDefault="00852D68" w:rsidP="009E265D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 w:rsidRPr="00852D68">
                        <w:t xml:space="preserve">W </w:t>
                      </w:r>
                      <w:r w:rsidR="00DD44AE">
                        <w:t>okresie styczeń–</w:t>
                      </w:r>
                      <w:r w:rsidR="00256706">
                        <w:t xml:space="preserve">kwiecień </w:t>
                      </w:r>
                      <w:r w:rsidRPr="00852D68">
                        <w:t>202</w:t>
                      </w:r>
                      <w:r w:rsidR="00E74DA8">
                        <w:t>2</w:t>
                      </w:r>
                      <w:r w:rsidRPr="00852D68">
                        <w:t xml:space="preserve"> r. rozpoczęto budowę </w:t>
                      </w:r>
                      <w:r w:rsidR="00256706">
                        <w:t>5168</w:t>
                      </w:r>
                      <w:r w:rsidRPr="00852D68">
                        <w:t xml:space="preserve"> mieszkań, tj. o </w:t>
                      </w:r>
                      <w:r w:rsidR="00256706">
                        <w:t>21,0</w:t>
                      </w:r>
                      <w:r w:rsidRPr="00852D68">
                        <w:t xml:space="preserve">% </w:t>
                      </w:r>
                      <w:r w:rsidR="00DD44AE">
                        <w:t>więcej</w:t>
                      </w:r>
                      <w:r w:rsidRPr="00852D68">
                        <w:t xml:space="preserve"> niż w analogicznym okresie poprzedniego roku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5D838A5" w14:textId="2F5F7145" w:rsidR="00DD44AE" w:rsidRDefault="00C03DD6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B01950">
        <w:rPr>
          <w:rFonts w:eastAsia="Times New Roman" w:cs="Times New Roman"/>
          <w:szCs w:val="19"/>
          <w:lang w:eastAsia="pl-PL"/>
        </w:rPr>
        <w:t xml:space="preserve">W </w:t>
      </w:r>
      <w:r w:rsidR="00256706">
        <w:rPr>
          <w:rFonts w:eastAsia="Times New Roman" w:cs="Times New Roman"/>
          <w:szCs w:val="19"/>
          <w:lang w:eastAsia="pl-PL"/>
        </w:rPr>
        <w:t>kwietniu</w:t>
      </w:r>
      <w:r w:rsidRPr="00B01950">
        <w:rPr>
          <w:rFonts w:eastAsia="Times New Roman" w:cs="Times New Roman"/>
          <w:szCs w:val="19"/>
          <w:lang w:eastAsia="pl-PL"/>
        </w:rPr>
        <w:t xml:space="preserve"> 2022 r. rozpoczęto budowę </w:t>
      </w:r>
      <w:r w:rsidR="00256706">
        <w:rPr>
          <w:rFonts w:eastAsia="Times New Roman" w:cs="Times New Roman"/>
          <w:szCs w:val="19"/>
          <w:lang w:eastAsia="pl-PL"/>
        </w:rPr>
        <w:t>1084</w:t>
      </w:r>
      <w:r w:rsidRPr="00B01950">
        <w:rPr>
          <w:rFonts w:eastAsia="Times New Roman" w:cs="Times New Roman"/>
          <w:szCs w:val="19"/>
          <w:lang w:eastAsia="pl-PL"/>
        </w:rPr>
        <w:t xml:space="preserve"> mieszkań</w:t>
      </w:r>
      <w:r w:rsidR="00DD44AE" w:rsidRPr="00B01950">
        <w:rPr>
          <w:rFonts w:eastAsia="Times New Roman" w:cs="Times New Roman"/>
          <w:szCs w:val="19"/>
          <w:lang w:eastAsia="pl-PL"/>
        </w:rPr>
        <w:t>,</w:t>
      </w:r>
      <w:r w:rsidRPr="00B01950">
        <w:rPr>
          <w:rFonts w:eastAsia="Times New Roman" w:cs="Times New Roman"/>
          <w:szCs w:val="19"/>
          <w:lang w:eastAsia="pl-PL"/>
        </w:rPr>
        <w:t xml:space="preserve"> </w:t>
      </w:r>
      <w:r w:rsidR="00DD44AE" w:rsidRPr="00B01950">
        <w:rPr>
          <w:rFonts w:eastAsia="Times New Roman" w:cs="Times New Roman"/>
          <w:szCs w:val="19"/>
          <w:lang w:eastAsia="pl-PL"/>
        </w:rPr>
        <w:t xml:space="preserve">tj. o </w:t>
      </w:r>
      <w:r w:rsidR="00256706">
        <w:rPr>
          <w:rFonts w:eastAsia="Times New Roman" w:cs="Times New Roman"/>
          <w:szCs w:val="19"/>
          <w:lang w:eastAsia="pl-PL"/>
        </w:rPr>
        <w:t>29</w:t>
      </w:r>
      <w:r w:rsidR="00B01950" w:rsidRPr="00B01950">
        <w:rPr>
          <w:rFonts w:eastAsia="Times New Roman" w:cs="Times New Roman"/>
          <w:szCs w:val="19"/>
          <w:lang w:eastAsia="pl-PL"/>
        </w:rPr>
        <w:t>,0</w:t>
      </w:r>
      <w:r w:rsidR="00DD44AE" w:rsidRPr="00B01950">
        <w:rPr>
          <w:rFonts w:eastAsia="Times New Roman" w:cs="Times New Roman"/>
          <w:szCs w:val="19"/>
          <w:lang w:eastAsia="pl-PL"/>
        </w:rPr>
        <w:t xml:space="preserve">% </w:t>
      </w:r>
      <w:r w:rsidR="00256706">
        <w:rPr>
          <w:rFonts w:eastAsia="Times New Roman" w:cs="Times New Roman"/>
          <w:szCs w:val="19"/>
          <w:lang w:eastAsia="pl-PL"/>
        </w:rPr>
        <w:t>mni</w:t>
      </w:r>
      <w:r w:rsidR="00DD44AE" w:rsidRPr="00B01950">
        <w:rPr>
          <w:rFonts w:eastAsia="Times New Roman" w:cs="Times New Roman"/>
          <w:szCs w:val="19"/>
          <w:lang w:eastAsia="pl-PL"/>
        </w:rPr>
        <w:t xml:space="preserve">ej niż w </w:t>
      </w:r>
      <w:r w:rsidR="00256706">
        <w:rPr>
          <w:rFonts w:eastAsia="Times New Roman" w:cs="Times New Roman"/>
          <w:szCs w:val="19"/>
          <w:lang w:eastAsia="pl-PL"/>
        </w:rPr>
        <w:t>kwietni</w:t>
      </w:r>
      <w:r w:rsidR="00B01950" w:rsidRPr="00B01950">
        <w:rPr>
          <w:rFonts w:eastAsia="Times New Roman" w:cs="Times New Roman"/>
          <w:szCs w:val="19"/>
          <w:lang w:eastAsia="pl-PL"/>
        </w:rPr>
        <w:t>u</w:t>
      </w:r>
      <w:r w:rsidR="00DD44AE" w:rsidRPr="00B01950">
        <w:rPr>
          <w:rFonts w:eastAsia="Times New Roman" w:cs="Times New Roman"/>
          <w:szCs w:val="19"/>
          <w:lang w:eastAsia="pl-PL"/>
        </w:rPr>
        <w:t xml:space="preserve"> 2021 r.</w:t>
      </w:r>
    </w:p>
    <w:p w14:paraId="47EF123D" w14:textId="3340D2D7" w:rsidR="00FA5360" w:rsidRPr="00256706" w:rsidRDefault="00960F40" w:rsidP="00256706">
      <w:pPr>
        <w:spacing w:line="288" w:lineRule="auto"/>
        <w:rPr>
          <w:rFonts w:eastAsia="Times New Roman" w:cs="Times New Roman"/>
          <w:spacing w:val="-8"/>
          <w:szCs w:val="19"/>
          <w:lang w:eastAsia="pl-PL"/>
        </w:rPr>
      </w:pPr>
      <w:r w:rsidRPr="00256706">
        <w:rPr>
          <w:rFonts w:eastAsia="Times New Roman" w:cs="Times New Roman"/>
          <w:spacing w:val="-8"/>
          <w:szCs w:val="19"/>
          <w:lang w:eastAsia="pl-PL"/>
        </w:rPr>
        <w:t>W okresie styczeń–kwiecień 2022 r. rozpoczęto budowę 5168 mieszkań (o 21,0% więcej niż w analogicznym okresie 2021 r.), z czego: 4859 w budownictwie przeznaczonym na sprzedaż lub wynajem, 158 w budownictwie indywidualnym, 120 w budownictwie spółdzielczym, 31 w budownictwie zakładowym.</w:t>
      </w:r>
    </w:p>
    <w:p w14:paraId="5141589B" w14:textId="06065BEC" w:rsidR="00C03DD6" w:rsidRPr="00256706" w:rsidRDefault="00FA5360" w:rsidP="00256706">
      <w:pPr>
        <w:spacing w:line="288" w:lineRule="auto"/>
        <w:rPr>
          <w:rFonts w:eastAsia="Times New Roman" w:cs="Times New Roman"/>
          <w:spacing w:val="-4"/>
          <w:szCs w:val="19"/>
          <w:lang w:eastAsia="pl-PL"/>
        </w:rPr>
      </w:pPr>
      <w:r w:rsidRPr="00256706">
        <w:rPr>
          <w:rFonts w:eastAsia="Times New Roman" w:cs="Times New Roman"/>
          <w:spacing w:val="-4"/>
          <w:szCs w:val="19"/>
          <w:lang w:eastAsia="pl-PL"/>
        </w:rPr>
        <w:t>Liczba mieszkań, na budowę których wydano pozwolenia lub dla których dokonano zgłoszenia</w:t>
      </w:r>
      <w:r w:rsidR="00835FE9" w:rsidRPr="00256706">
        <w:rPr>
          <w:rFonts w:eastAsia="Times New Roman" w:cs="Times New Roman"/>
          <w:spacing w:val="-4"/>
          <w:szCs w:val="19"/>
          <w:lang w:eastAsia="pl-PL"/>
        </w:rPr>
        <w:t xml:space="preserve"> z projektem budowlanym w </w:t>
      </w:r>
      <w:r w:rsidR="00256706" w:rsidRPr="00256706">
        <w:rPr>
          <w:rFonts w:eastAsia="Times New Roman" w:cs="Times New Roman"/>
          <w:spacing w:val="-4"/>
          <w:szCs w:val="19"/>
          <w:lang w:eastAsia="pl-PL"/>
        </w:rPr>
        <w:t>kwietniu</w:t>
      </w:r>
      <w:r w:rsidR="00835FE9" w:rsidRPr="00256706">
        <w:rPr>
          <w:rFonts w:eastAsia="Times New Roman" w:cs="Times New Roman"/>
          <w:spacing w:val="-4"/>
          <w:szCs w:val="19"/>
          <w:lang w:eastAsia="pl-PL"/>
        </w:rPr>
        <w:t xml:space="preserve"> 2022 r. wyniosła 1</w:t>
      </w:r>
      <w:r w:rsidR="00256706" w:rsidRPr="00256706">
        <w:rPr>
          <w:rFonts w:eastAsia="Times New Roman" w:cs="Times New Roman"/>
          <w:spacing w:val="-4"/>
          <w:szCs w:val="19"/>
          <w:lang w:eastAsia="pl-PL"/>
        </w:rPr>
        <w:t>675</w:t>
      </w:r>
      <w:r w:rsidR="00835FE9" w:rsidRPr="00256706">
        <w:rPr>
          <w:rFonts w:eastAsia="Times New Roman" w:cs="Times New Roman"/>
          <w:spacing w:val="-4"/>
          <w:szCs w:val="19"/>
          <w:lang w:eastAsia="pl-PL"/>
        </w:rPr>
        <w:t xml:space="preserve"> i była o </w:t>
      </w:r>
      <w:r w:rsidR="00256706" w:rsidRPr="00256706">
        <w:rPr>
          <w:rFonts w:eastAsia="Times New Roman" w:cs="Times New Roman"/>
          <w:spacing w:val="-4"/>
          <w:szCs w:val="19"/>
          <w:lang w:eastAsia="pl-PL"/>
        </w:rPr>
        <w:t>68,9</w:t>
      </w:r>
      <w:r w:rsidR="00835FE9" w:rsidRPr="00256706">
        <w:rPr>
          <w:rFonts w:eastAsia="Times New Roman" w:cs="Times New Roman"/>
          <w:spacing w:val="-4"/>
          <w:szCs w:val="19"/>
          <w:lang w:eastAsia="pl-PL"/>
        </w:rPr>
        <w:t xml:space="preserve">% </w:t>
      </w:r>
      <w:r w:rsidR="00256706" w:rsidRPr="00256706">
        <w:rPr>
          <w:rFonts w:eastAsia="Times New Roman" w:cs="Times New Roman"/>
          <w:spacing w:val="-4"/>
          <w:szCs w:val="19"/>
          <w:lang w:eastAsia="pl-PL"/>
        </w:rPr>
        <w:t>wy</w:t>
      </w:r>
      <w:r w:rsidR="00835FE9" w:rsidRPr="00256706">
        <w:rPr>
          <w:rFonts w:eastAsia="Times New Roman" w:cs="Times New Roman"/>
          <w:spacing w:val="-4"/>
          <w:szCs w:val="19"/>
          <w:lang w:eastAsia="pl-PL"/>
        </w:rPr>
        <w:t>ższa niż przed rokiem.</w:t>
      </w:r>
      <w:r w:rsidR="00DD44AE" w:rsidRPr="00256706">
        <w:rPr>
          <w:rFonts w:eastAsia="Times New Roman" w:cs="Times New Roman"/>
          <w:spacing w:val="-4"/>
          <w:szCs w:val="19"/>
          <w:lang w:eastAsia="pl-PL"/>
        </w:rPr>
        <w:t xml:space="preserve"> </w:t>
      </w:r>
    </w:p>
    <w:p w14:paraId="262D75DC" w14:textId="282C440A" w:rsidR="007D25F5" w:rsidRPr="00D344FD" w:rsidRDefault="00960F40" w:rsidP="00D344FD">
      <w:pPr>
        <w:spacing w:line="288" w:lineRule="auto"/>
        <w:rPr>
          <w:rFonts w:eastAsia="Times New Roman" w:cs="Times New Roman"/>
          <w:spacing w:val="-9"/>
          <w:szCs w:val="19"/>
          <w:lang w:eastAsia="pl-PL"/>
        </w:rPr>
      </w:pPr>
      <w:r w:rsidRPr="00D344FD">
        <w:rPr>
          <w:rFonts w:eastAsia="Times New Roman" w:cs="Times New Roman"/>
          <w:spacing w:val="-9"/>
          <w:szCs w:val="19"/>
          <w:lang w:eastAsia="pl-PL"/>
        </w:rPr>
        <w:t>W okresie styczeń–kwiecień 2022 r. liczba mieszkań, na budowę których wydano pozwolenia lub dla których dokonano zgłoszenia z projektem budowlanym wyniosła 6500 (o 67,</w:t>
      </w:r>
      <w:r w:rsidR="00417654" w:rsidRPr="00D344FD">
        <w:rPr>
          <w:rFonts w:eastAsia="Times New Roman" w:cs="Times New Roman"/>
          <w:spacing w:val="-9"/>
          <w:szCs w:val="19"/>
          <w:lang w:eastAsia="pl-PL"/>
        </w:rPr>
        <w:t>3</w:t>
      </w:r>
      <w:r w:rsidRPr="00D344FD">
        <w:rPr>
          <w:rFonts w:eastAsia="Times New Roman" w:cs="Times New Roman"/>
          <w:spacing w:val="-9"/>
          <w:szCs w:val="19"/>
          <w:lang w:eastAsia="pl-PL"/>
        </w:rPr>
        <w:t>% więcej niż w analogicznym okresie 2021 r.), w tym 189 mieszka</w:t>
      </w:r>
      <w:r w:rsidR="00256706" w:rsidRPr="00D344FD">
        <w:rPr>
          <w:rFonts w:eastAsia="Times New Roman" w:cs="Times New Roman"/>
          <w:spacing w:val="-9"/>
          <w:szCs w:val="19"/>
          <w:lang w:eastAsia="pl-PL"/>
        </w:rPr>
        <w:t>ń</w:t>
      </w:r>
      <w:r w:rsidRPr="00D344FD">
        <w:rPr>
          <w:rFonts w:eastAsia="Times New Roman" w:cs="Times New Roman"/>
          <w:spacing w:val="-9"/>
          <w:szCs w:val="19"/>
          <w:lang w:eastAsia="pl-PL"/>
        </w:rPr>
        <w:t xml:space="preserve"> w budynkach realizowanych przez inwestorów indywidualnych.</w:t>
      </w:r>
    </w:p>
    <w:p w14:paraId="4ABD2FE8" w14:textId="30246117" w:rsidR="007D25F5" w:rsidRPr="00E77B24" w:rsidRDefault="00960F40" w:rsidP="007D25F5">
      <w:pPr>
        <w:spacing w:line="288" w:lineRule="auto"/>
        <w:rPr>
          <w:rFonts w:eastAsia="Times New Roman" w:cs="Times New Roman"/>
          <w:spacing w:val="-2"/>
          <w:szCs w:val="19"/>
          <w:lang w:eastAsia="pl-PL"/>
        </w:rPr>
      </w:pPr>
      <w:r w:rsidRPr="00256706">
        <w:rPr>
          <w:rFonts w:eastAsia="Times New Roman" w:cs="Times New Roman"/>
          <w:spacing w:val="-6"/>
          <w:szCs w:val="19"/>
          <w:lang w:eastAsia="pl-PL"/>
        </w:rPr>
        <w:t>Przeciętna powierzchnia mieszkania oddanego do użytkowania w okresie styczeń–kwiecień 2022 r</w:t>
      </w:r>
      <w:r w:rsidRPr="00960F40">
        <w:rPr>
          <w:rFonts w:eastAsia="Times New Roman" w:cs="Times New Roman"/>
          <w:spacing w:val="-4"/>
          <w:szCs w:val="19"/>
          <w:lang w:eastAsia="pl-PL"/>
        </w:rPr>
        <w:t>. wyniosła 60,1 m</w:t>
      </w:r>
      <w:r w:rsidRPr="00256706">
        <w:rPr>
          <w:rFonts w:eastAsia="Times New Roman" w:cs="Times New Roman"/>
          <w:spacing w:val="-4"/>
          <w:szCs w:val="19"/>
          <w:vertAlign w:val="superscript"/>
          <w:lang w:eastAsia="pl-PL"/>
        </w:rPr>
        <w:t>2</w:t>
      </w:r>
      <w:r w:rsidRPr="00960F40">
        <w:rPr>
          <w:rFonts w:eastAsia="Times New Roman" w:cs="Times New Roman"/>
          <w:spacing w:val="-4"/>
          <w:szCs w:val="19"/>
          <w:lang w:eastAsia="pl-PL"/>
        </w:rPr>
        <w:t xml:space="preserve"> i zmniejszyła się w stosunku do analogicznego okresu 2021 r. o 7,</w:t>
      </w:r>
      <w:r w:rsidR="00417654">
        <w:rPr>
          <w:rFonts w:eastAsia="Times New Roman" w:cs="Times New Roman"/>
          <w:spacing w:val="-4"/>
          <w:szCs w:val="19"/>
          <w:lang w:eastAsia="pl-PL"/>
        </w:rPr>
        <w:t>3</w:t>
      </w:r>
      <w:r w:rsidRPr="00960F40">
        <w:rPr>
          <w:rFonts w:eastAsia="Times New Roman" w:cs="Times New Roman"/>
          <w:spacing w:val="-4"/>
          <w:szCs w:val="19"/>
          <w:lang w:eastAsia="pl-PL"/>
        </w:rPr>
        <w:t xml:space="preserve"> m</w:t>
      </w:r>
      <w:r w:rsidRPr="00256706">
        <w:rPr>
          <w:rFonts w:eastAsia="Times New Roman" w:cs="Times New Roman"/>
          <w:spacing w:val="-4"/>
          <w:szCs w:val="19"/>
          <w:vertAlign w:val="superscript"/>
          <w:lang w:eastAsia="pl-PL"/>
        </w:rPr>
        <w:t>2</w:t>
      </w:r>
      <w:r w:rsidRPr="00960F40">
        <w:rPr>
          <w:rFonts w:eastAsia="Times New Roman" w:cs="Times New Roman"/>
          <w:spacing w:val="-4"/>
          <w:szCs w:val="19"/>
          <w:lang w:eastAsia="pl-PL"/>
        </w:rPr>
        <w:t>. Przeciętna powierzchnia użytkowa w budownictwie indywidualnym wyniosła 164.8 m</w:t>
      </w:r>
      <w:r w:rsidRPr="00256706">
        <w:rPr>
          <w:rFonts w:eastAsia="Times New Roman" w:cs="Times New Roman"/>
          <w:spacing w:val="-4"/>
          <w:szCs w:val="19"/>
          <w:vertAlign w:val="superscript"/>
          <w:lang w:eastAsia="pl-PL"/>
        </w:rPr>
        <w:t>2</w:t>
      </w:r>
      <w:r w:rsidRPr="00960F40">
        <w:rPr>
          <w:rFonts w:eastAsia="Times New Roman" w:cs="Times New Roman"/>
          <w:spacing w:val="-4"/>
          <w:szCs w:val="19"/>
          <w:lang w:eastAsia="pl-PL"/>
        </w:rPr>
        <w:t xml:space="preserve"> (o </w:t>
      </w:r>
      <w:r w:rsidR="00417654">
        <w:rPr>
          <w:rFonts w:eastAsia="Times New Roman" w:cs="Times New Roman"/>
          <w:spacing w:val="-4"/>
          <w:szCs w:val="19"/>
          <w:lang w:eastAsia="pl-PL"/>
        </w:rPr>
        <w:t>19,1</w:t>
      </w:r>
      <w:r w:rsidRPr="00960F40">
        <w:rPr>
          <w:rFonts w:eastAsia="Times New Roman" w:cs="Times New Roman"/>
          <w:spacing w:val="-4"/>
          <w:szCs w:val="19"/>
          <w:lang w:eastAsia="pl-PL"/>
        </w:rPr>
        <w:t xml:space="preserve"> m</w:t>
      </w:r>
      <w:r w:rsidRPr="00256706">
        <w:rPr>
          <w:rFonts w:eastAsia="Times New Roman" w:cs="Times New Roman"/>
          <w:spacing w:val="-4"/>
          <w:szCs w:val="19"/>
          <w:vertAlign w:val="superscript"/>
          <w:lang w:eastAsia="pl-PL"/>
        </w:rPr>
        <w:t>2</w:t>
      </w:r>
      <w:r w:rsidRPr="00960F40">
        <w:rPr>
          <w:rFonts w:eastAsia="Times New Roman" w:cs="Times New Roman"/>
          <w:spacing w:val="-4"/>
          <w:szCs w:val="19"/>
          <w:lang w:eastAsia="pl-PL"/>
        </w:rPr>
        <w:t xml:space="preserve"> mniej niż </w:t>
      </w:r>
      <w:r w:rsidR="00417654">
        <w:rPr>
          <w:rFonts w:eastAsia="Times New Roman" w:cs="Times New Roman"/>
          <w:spacing w:val="-4"/>
          <w:szCs w:val="19"/>
          <w:lang w:eastAsia="pl-PL"/>
        </w:rPr>
        <w:br/>
      </w:r>
      <w:r w:rsidRPr="00960F40">
        <w:rPr>
          <w:rFonts w:eastAsia="Times New Roman" w:cs="Times New Roman"/>
          <w:spacing w:val="-4"/>
          <w:szCs w:val="19"/>
          <w:lang w:eastAsia="pl-PL"/>
        </w:rPr>
        <w:t>w analogicznym okresie 2021 r.), w budownictwie przeznaczonym na sprzedaż lub wynajem — 53.6 m</w:t>
      </w:r>
      <w:r w:rsidRPr="00256706">
        <w:rPr>
          <w:rFonts w:eastAsia="Times New Roman" w:cs="Times New Roman"/>
          <w:spacing w:val="-4"/>
          <w:szCs w:val="19"/>
          <w:vertAlign w:val="superscript"/>
          <w:lang w:eastAsia="pl-PL"/>
        </w:rPr>
        <w:t>2</w:t>
      </w:r>
      <w:r w:rsidRPr="00960F40">
        <w:rPr>
          <w:rFonts w:eastAsia="Times New Roman" w:cs="Times New Roman"/>
          <w:spacing w:val="-4"/>
          <w:szCs w:val="19"/>
          <w:lang w:eastAsia="pl-PL"/>
        </w:rPr>
        <w:t xml:space="preserve"> (o 9,2 m</w:t>
      </w:r>
      <w:r w:rsidRPr="00256706">
        <w:rPr>
          <w:rFonts w:eastAsia="Times New Roman" w:cs="Times New Roman"/>
          <w:spacing w:val="-4"/>
          <w:szCs w:val="19"/>
          <w:vertAlign w:val="superscript"/>
          <w:lang w:eastAsia="pl-PL"/>
        </w:rPr>
        <w:t>2</w:t>
      </w:r>
      <w:r w:rsidRPr="00960F40">
        <w:rPr>
          <w:rFonts w:eastAsia="Times New Roman" w:cs="Times New Roman"/>
          <w:spacing w:val="-4"/>
          <w:szCs w:val="19"/>
          <w:lang w:eastAsia="pl-PL"/>
        </w:rPr>
        <w:t xml:space="preserve"> mniej), w budownictwie spółdzielczym — 42,2 m</w:t>
      </w:r>
      <w:r w:rsidRPr="00256706">
        <w:rPr>
          <w:rFonts w:eastAsia="Times New Roman" w:cs="Times New Roman"/>
          <w:spacing w:val="-4"/>
          <w:szCs w:val="19"/>
          <w:vertAlign w:val="superscript"/>
          <w:lang w:eastAsia="pl-PL"/>
        </w:rPr>
        <w:t>2</w:t>
      </w:r>
      <w:r w:rsidRPr="00960F40">
        <w:rPr>
          <w:rFonts w:eastAsia="Times New Roman" w:cs="Times New Roman"/>
          <w:spacing w:val="-4"/>
          <w:szCs w:val="19"/>
          <w:lang w:eastAsia="pl-PL"/>
        </w:rPr>
        <w:t>.</w:t>
      </w:r>
    </w:p>
    <w:p w14:paraId="56E3C32D" w14:textId="3A1BCA12" w:rsidR="007D25F5" w:rsidRPr="009E265D" w:rsidRDefault="00E74DA8" w:rsidP="00676713">
      <w:pPr>
        <w:pStyle w:val="Nagwek1"/>
        <w:rPr>
          <w:rFonts w:ascii="Fira Sans" w:hAnsi="Fira Sans"/>
          <w:b/>
        </w:rPr>
      </w:pPr>
      <w:r w:rsidRPr="009E265D">
        <w:rPr>
          <w:rFonts w:ascii="Fira Sans" w:hAnsi="Fira Sans"/>
          <w:b/>
          <w:noProof/>
        </w:rPr>
        <mc:AlternateContent>
          <mc:Choice Requires="wps">
            <w:drawing>
              <wp:anchor distT="45720" distB="45720" distL="114300" distR="114300" simplePos="0" relativeHeight="251786240" behindDoc="1" locked="0" layoutInCell="1" allowOverlap="1" wp14:anchorId="6998E8A6" wp14:editId="4DE541F9">
                <wp:simplePos x="0" y="0"/>
                <wp:positionH relativeFrom="column">
                  <wp:posOffset>5314315</wp:posOffset>
                </wp:positionH>
                <wp:positionV relativeFrom="paragraph">
                  <wp:posOffset>10795</wp:posOffset>
                </wp:positionV>
                <wp:extent cx="1725295" cy="1380226"/>
                <wp:effectExtent l="0" t="0" r="0" b="0"/>
                <wp:wrapTight wrapText="bothSides">
                  <wp:wrapPolygon edited="0">
                    <wp:start x="715" y="0"/>
                    <wp:lineTo x="715" y="21173"/>
                    <wp:lineTo x="20749" y="21173"/>
                    <wp:lineTo x="20749" y="0"/>
                    <wp:lineTo x="715" y="0"/>
                  </wp:wrapPolygon>
                </wp:wrapTight>
                <wp:docPr id="30" name="Pole tekstowe 30" descr="W końcu kwietnia 2022 r. najliczniejszą grupę podmiotów według rodzaju prowadzonej działalności stanowiły jednostki zajmujące się działalnością profesjonalną, naukową i techniczną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802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3C0E9" w14:textId="00A05C2E" w:rsidR="00852D68" w:rsidRPr="000A42BD" w:rsidRDefault="00852D68" w:rsidP="009E265D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 w:rsidRPr="00852D68">
                              <w:t xml:space="preserve">W końcu </w:t>
                            </w:r>
                            <w:r w:rsidR="00256706">
                              <w:t>kwietnia</w:t>
                            </w:r>
                            <w:r w:rsidRPr="00852D68">
                              <w:t xml:space="preserve"> 202</w:t>
                            </w:r>
                            <w:r w:rsidR="00E74DA8">
                              <w:t>2 r. najliczniejszą grupę podmiotów we</w:t>
                            </w:r>
                            <w:r w:rsidRPr="00852D68">
                              <w:t>dług r</w:t>
                            </w:r>
                            <w:r w:rsidR="00E74DA8">
                              <w:t>odzaju prowadzonej dzia</w:t>
                            </w:r>
                            <w:r w:rsidRPr="00852D68">
                              <w:t>łalności stanowiły jednostki zajmujące się działalności</w:t>
                            </w:r>
                            <w:r w:rsidR="00E74DA8">
                              <w:t>ą profesjonalną, naukową i tech</w:t>
                            </w:r>
                            <w:r w:rsidRPr="00852D68">
                              <w:t>niczną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8E8A6" id="Pole tekstowe 30" o:spid="_x0000_s1038" type="#_x0000_t202" alt="Tytuł: Istotna informacja — opis: W końcu kwietnia 2022 r. najliczniejszą grupę podmiotów według rodzaju prowadzonej działalności stanowiły jednostki zajmujące się działalnością profesjonalną, naukową i techniczną" style="position:absolute;margin-left:418.45pt;margin-top:.85pt;width:135.85pt;height:108.7pt;z-index:-251530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" filled="f" stroked="f">
                <v:textbox>
                  <w:txbxContent>
                    <w:p w14:paraId="4B43C0E9" w14:textId="00A05C2E" w:rsidR="00852D68" w:rsidRPr="000A42BD" w:rsidRDefault="00852D68" w:rsidP="009E265D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 w:rsidRPr="00852D68">
                        <w:t xml:space="preserve">W końcu </w:t>
                      </w:r>
                      <w:r w:rsidR="00256706">
                        <w:t>kwietnia</w:t>
                      </w:r>
                      <w:r w:rsidRPr="00852D68">
                        <w:t xml:space="preserve"> 202</w:t>
                      </w:r>
                      <w:r w:rsidR="00E74DA8">
                        <w:t>2 r. najliczniejszą grupę podmiotów we</w:t>
                      </w:r>
                      <w:r w:rsidRPr="00852D68">
                        <w:t>dług r</w:t>
                      </w:r>
                      <w:r w:rsidR="00E74DA8">
                        <w:t>odzaju prowadzonej dzia</w:t>
                      </w:r>
                      <w:r w:rsidRPr="00852D68">
                        <w:t>łalności stanowiły jednostki zajmujące się działalności</w:t>
                      </w:r>
                      <w:r w:rsidR="00E74DA8">
                        <w:t>ą profesjonalną, naukową i tech</w:t>
                      </w:r>
                      <w:r w:rsidRPr="00852D68">
                        <w:t>niczną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5F5" w:rsidRPr="009E265D">
        <w:rPr>
          <w:rFonts w:ascii="Fira Sans" w:hAnsi="Fira Sans"/>
          <w:b/>
        </w:rPr>
        <w:t>Podmioty gospodarki narodowej</w:t>
      </w:r>
      <w:r w:rsidR="008C0962">
        <w:rPr>
          <w:rStyle w:val="Odwoanieprzypisudolnego"/>
          <w:rFonts w:ascii="Fira Sans" w:hAnsi="Fira Sans"/>
          <w:b/>
        </w:rPr>
        <w:footnoteReference w:id="2"/>
      </w:r>
      <w:r w:rsidR="007D25F5" w:rsidRPr="009E265D">
        <w:rPr>
          <w:rFonts w:ascii="Fira Sans" w:hAnsi="Fira Sans"/>
          <w:b/>
        </w:rPr>
        <w:t xml:space="preserve">  </w:t>
      </w:r>
    </w:p>
    <w:p w14:paraId="0E9287C3" w14:textId="478B7ACB" w:rsidR="007E51DD" w:rsidRDefault="005B08C0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5B08C0">
        <w:rPr>
          <w:rFonts w:eastAsia="Times New Roman" w:cs="Times New Roman"/>
          <w:szCs w:val="19"/>
          <w:lang w:eastAsia="pl-PL"/>
        </w:rPr>
        <w:t xml:space="preserve">W końcu kwietnia 2022 r. w rejestrze REGON na terenie Warszawy były zarejestrowane 506404 podmioty gospodarki narodowej, co stanowiło 53,9% zbioru województwa mazowieckiego. </w:t>
      </w:r>
      <w:r w:rsidR="00256706">
        <w:rPr>
          <w:rFonts w:eastAsia="Times New Roman" w:cs="Times New Roman"/>
          <w:szCs w:val="19"/>
          <w:lang w:eastAsia="pl-PL"/>
        </w:rPr>
        <w:br/>
      </w:r>
      <w:r w:rsidRPr="005B08C0">
        <w:rPr>
          <w:rFonts w:eastAsia="Times New Roman" w:cs="Times New Roman"/>
          <w:szCs w:val="19"/>
          <w:lang w:eastAsia="pl-PL"/>
        </w:rPr>
        <w:t xml:space="preserve">W porównaniu z marcem 2022 r. liczba podmiotów gospodarki narodowej zwiększyła się </w:t>
      </w:r>
      <w:r w:rsidR="00217E16">
        <w:rPr>
          <w:rFonts w:eastAsia="Times New Roman" w:cs="Times New Roman"/>
          <w:szCs w:val="19"/>
          <w:lang w:eastAsia="pl-PL"/>
        </w:rPr>
        <w:br/>
      </w:r>
      <w:r w:rsidRPr="005B08C0">
        <w:rPr>
          <w:rFonts w:eastAsia="Times New Roman" w:cs="Times New Roman"/>
          <w:szCs w:val="19"/>
          <w:lang w:eastAsia="pl-PL"/>
        </w:rPr>
        <w:t>o 1464 (tj. o 0,3%), a w stosunku do kwietnia 2021 r. wzrosła o 24365 (tj. o 5,1%).</w:t>
      </w:r>
    </w:p>
    <w:p w14:paraId="76646A38" w14:textId="6FE63568" w:rsidR="007D25F5" w:rsidRPr="007D25F5" w:rsidRDefault="005B08C0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5B08C0">
        <w:rPr>
          <w:rFonts w:eastAsia="Times New Roman" w:cs="Times New Roman"/>
          <w:szCs w:val="19"/>
          <w:lang w:eastAsia="pl-PL"/>
        </w:rPr>
        <w:lastRenderedPageBreak/>
        <w:t xml:space="preserve">Według stanu w końcu kwietnia br. do rejestru REGON wpisanych było 230307 osób prawnych i jednostek organizacyjnych niemających osobowości prawnej, w tym 161339 spółek handlowych. Liczba tych podmiotów wzrosła w stosunku do poprzedniego miesiąca odpowiednio </w:t>
      </w:r>
      <w:r w:rsidR="00217E16">
        <w:rPr>
          <w:rFonts w:eastAsia="Times New Roman" w:cs="Times New Roman"/>
          <w:szCs w:val="19"/>
          <w:lang w:eastAsia="pl-PL"/>
        </w:rPr>
        <w:br/>
      </w:r>
      <w:r w:rsidRPr="005B08C0">
        <w:rPr>
          <w:rFonts w:eastAsia="Times New Roman" w:cs="Times New Roman"/>
          <w:szCs w:val="19"/>
          <w:lang w:eastAsia="pl-PL"/>
        </w:rPr>
        <w:t>o 0,4% i 0,5%, natomiast w skali roku odpowiednio o 6,5% i 8,7%.</w:t>
      </w:r>
    </w:p>
    <w:p w14:paraId="4B1D8316" w14:textId="4D52D075" w:rsidR="007D25F5" w:rsidRPr="007D25F5" w:rsidRDefault="005B08C0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5B08C0">
        <w:rPr>
          <w:rFonts w:eastAsia="Times New Roman" w:cs="Times New Roman"/>
          <w:szCs w:val="19"/>
          <w:lang w:eastAsia="pl-PL"/>
        </w:rPr>
        <w:t>Liczba zarejestrowanych osób fizycznych prowadzących działalność gospodarczą według stanu w końcu kwietnia 2022 r. wyniosła 276097 i w porównaniu z marcem 2022 r. była wyższa o 0,2%, a w stosunku do analogicznego okresu poprzedniego roku wzrosła o 3,9%.</w:t>
      </w:r>
    </w:p>
    <w:p w14:paraId="463AC9A5" w14:textId="0133ED24" w:rsidR="007D25F5" w:rsidRPr="00217E16" w:rsidRDefault="005B08C0" w:rsidP="00217E16">
      <w:pPr>
        <w:spacing w:line="288" w:lineRule="auto"/>
        <w:rPr>
          <w:rFonts w:eastAsia="Times New Roman" w:cs="Times New Roman"/>
          <w:spacing w:val="-9"/>
          <w:szCs w:val="19"/>
          <w:lang w:eastAsia="pl-PL"/>
        </w:rPr>
      </w:pPr>
      <w:r w:rsidRPr="00217E16">
        <w:rPr>
          <w:rFonts w:eastAsia="Times New Roman" w:cs="Times New Roman"/>
          <w:spacing w:val="-9"/>
          <w:szCs w:val="19"/>
          <w:lang w:eastAsia="pl-PL"/>
        </w:rPr>
        <w:t>W stolicy, w kwietniu 2022 r., najwięcej było podmiotów zajmujących się: działalnością profesjonalną, naukową i techniczną (19,5% ogółu zarejestrowanych jednostek), handlem</w:t>
      </w:r>
      <w:r w:rsidR="00217E16">
        <w:rPr>
          <w:rFonts w:eastAsia="Times New Roman" w:cs="Times New Roman"/>
          <w:spacing w:val="-9"/>
          <w:szCs w:val="19"/>
          <w:lang w:eastAsia="pl-PL"/>
        </w:rPr>
        <w:t>,</w:t>
      </w:r>
      <w:r w:rsidRPr="00217E16">
        <w:rPr>
          <w:rFonts w:eastAsia="Times New Roman" w:cs="Times New Roman"/>
          <w:spacing w:val="-9"/>
          <w:szCs w:val="19"/>
          <w:lang w:eastAsia="pl-PL"/>
        </w:rPr>
        <w:t xml:space="preserve"> naprawą pojazdów samochodowych (17,9%) oraz informacją i komunikacją (11,1%).</w:t>
      </w:r>
    </w:p>
    <w:p w14:paraId="585692EF" w14:textId="11CB371C" w:rsidR="007D25F5" w:rsidRPr="00A91006" w:rsidRDefault="005B08C0" w:rsidP="00A91006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5B08C0">
        <w:rPr>
          <w:rFonts w:eastAsia="Times New Roman" w:cs="Times New Roman"/>
          <w:szCs w:val="19"/>
          <w:lang w:eastAsia="pl-PL"/>
        </w:rPr>
        <w:t>W porównaniu z marcem 2022 r. liczba podmiotów zwiększyła się m.in. w sekcjach: informacja i komunikacja (o 1,5%), wytwarzanie i zaopatrywanie w energię elektryczną, gaz, parę wodną</w:t>
      </w:r>
      <w:r w:rsidR="008A4C40">
        <w:rPr>
          <w:rFonts w:eastAsia="Times New Roman" w:cs="Times New Roman"/>
          <w:szCs w:val="19"/>
          <w:lang w:eastAsia="pl-PL"/>
        </w:rPr>
        <w:t xml:space="preserve"> </w:t>
      </w:r>
      <w:r w:rsidR="008A4C40">
        <w:rPr>
          <w:rFonts w:eastAsia="Times New Roman" w:cs="Times New Roman"/>
          <w:szCs w:val="19"/>
          <w:lang w:eastAsia="pl-PL"/>
        </w:rPr>
        <w:br/>
        <w:t>i</w:t>
      </w:r>
      <w:r w:rsidRPr="005B08C0">
        <w:rPr>
          <w:rFonts w:eastAsia="Times New Roman" w:cs="Times New Roman"/>
          <w:szCs w:val="19"/>
          <w:lang w:eastAsia="pl-PL"/>
        </w:rPr>
        <w:t xml:space="preserve"> gorącą wodę (o 0,7%), administrowani</w:t>
      </w:r>
      <w:r w:rsidR="00217E16">
        <w:rPr>
          <w:rFonts w:eastAsia="Times New Roman" w:cs="Times New Roman"/>
          <w:szCs w:val="19"/>
          <w:lang w:eastAsia="pl-PL"/>
        </w:rPr>
        <w:t>e</w:t>
      </w:r>
      <w:r w:rsidRPr="005B08C0">
        <w:rPr>
          <w:rFonts w:eastAsia="Times New Roman" w:cs="Times New Roman"/>
          <w:szCs w:val="19"/>
          <w:lang w:eastAsia="pl-PL"/>
        </w:rPr>
        <w:t xml:space="preserve"> i działalność wspierająca (o 0,6</w:t>
      </w:r>
      <w:r w:rsidR="00217E16">
        <w:rPr>
          <w:rFonts w:eastAsia="Times New Roman" w:cs="Times New Roman"/>
          <w:szCs w:val="19"/>
          <w:lang w:eastAsia="pl-PL"/>
        </w:rPr>
        <w:t>)</w:t>
      </w:r>
      <w:r w:rsidRPr="005B08C0">
        <w:rPr>
          <w:rFonts w:eastAsia="Times New Roman" w:cs="Times New Roman"/>
          <w:szCs w:val="19"/>
          <w:lang w:eastAsia="pl-PL"/>
        </w:rPr>
        <w:t xml:space="preserve">. Spadła natomiast liczba podmiotów </w:t>
      </w:r>
      <w:r w:rsidR="00217E16">
        <w:rPr>
          <w:rFonts w:eastAsia="Times New Roman" w:cs="Times New Roman"/>
          <w:szCs w:val="19"/>
          <w:lang w:eastAsia="pl-PL"/>
        </w:rPr>
        <w:t xml:space="preserve">m.in. </w:t>
      </w:r>
      <w:r w:rsidRPr="005B08C0">
        <w:rPr>
          <w:rFonts w:eastAsia="Times New Roman" w:cs="Times New Roman"/>
          <w:szCs w:val="19"/>
          <w:lang w:eastAsia="pl-PL"/>
        </w:rPr>
        <w:t xml:space="preserve">w sekcjach: górnictwo i wydobywanie (o 0,6%), działalność związana </w:t>
      </w:r>
      <w:r w:rsidR="008A4C40">
        <w:rPr>
          <w:rFonts w:eastAsia="Times New Roman" w:cs="Times New Roman"/>
          <w:szCs w:val="19"/>
          <w:lang w:eastAsia="pl-PL"/>
        </w:rPr>
        <w:br/>
      </w:r>
      <w:r w:rsidRPr="005B08C0">
        <w:rPr>
          <w:rFonts w:eastAsia="Times New Roman" w:cs="Times New Roman"/>
          <w:szCs w:val="19"/>
          <w:lang w:eastAsia="pl-PL"/>
        </w:rPr>
        <w:t>z kulturą</w:t>
      </w:r>
      <w:r w:rsidR="008A4C40">
        <w:rPr>
          <w:rFonts w:eastAsia="Times New Roman" w:cs="Times New Roman"/>
          <w:szCs w:val="19"/>
          <w:lang w:eastAsia="pl-PL"/>
        </w:rPr>
        <w:t>, rozrywką i rekreacją (o 0,4%)</w:t>
      </w:r>
      <w:r w:rsidRPr="005B08C0">
        <w:rPr>
          <w:rFonts w:eastAsia="Times New Roman" w:cs="Times New Roman"/>
          <w:szCs w:val="19"/>
          <w:lang w:eastAsia="pl-PL"/>
        </w:rPr>
        <w:t>.</w:t>
      </w:r>
    </w:p>
    <w:p w14:paraId="6C61E66E" w14:textId="5727A799" w:rsidR="007D25F5" w:rsidRPr="009E265D" w:rsidRDefault="005B08C0" w:rsidP="009E265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5B08C0">
        <w:rPr>
          <w:rFonts w:eastAsia="Times New Roman" w:cs="Times New Roman"/>
          <w:szCs w:val="19"/>
          <w:lang w:eastAsia="pl-PL"/>
        </w:rPr>
        <w:t>W stosunku do kwietnia 2021 r. największy wzrost liczby podmiotów odnotowano w sekcjach: wytwarzanie i zaopatrywanie w energię elektryczną, gaz, parę wodną</w:t>
      </w:r>
      <w:r w:rsidR="008A4C40">
        <w:rPr>
          <w:rFonts w:eastAsia="Times New Roman" w:cs="Times New Roman"/>
          <w:szCs w:val="19"/>
          <w:lang w:eastAsia="pl-PL"/>
        </w:rPr>
        <w:t xml:space="preserve"> i</w:t>
      </w:r>
      <w:r w:rsidRPr="005B08C0">
        <w:rPr>
          <w:rFonts w:eastAsia="Times New Roman" w:cs="Times New Roman"/>
          <w:szCs w:val="19"/>
          <w:lang w:eastAsia="pl-PL"/>
        </w:rPr>
        <w:t xml:space="preserve"> gorącą wodę (o 20,3%), informacja i komunikacja (o 13,8%), administrowani</w:t>
      </w:r>
      <w:r w:rsidR="008A4C40">
        <w:rPr>
          <w:rFonts w:eastAsia="Times New Roman" w:cs="Times New Roman"/>
          <w:szCs w:val="19"/>
          <w:lang w:eastAsia="pl-PL"/>
        </w:rPr>
        <w:t>e</w:t>
      </w:r>
      <w:r w:rsidRPr="005B08C0">
        <w:rPr>
          <w:rFonts w:eastAsia="Times New Roman" w:cs="Times New Roman"/>
          <w:szCs w:val="19"/>
          <w:lang w:eastAsia="pl-PL"/>
        </w:rPr>
        <w:t xml:space="preserve"> i działalność wspierająca (o 6,5%), opieka zdrowotna i pomoc społeczna </w:t>
      </w:r>
      <w:r w:rsidR="008A4C40">
        <w:rPr>
          <w:rFonts w:eastAsia="Times New Roman" w:cs="Times New Roman"/>
          <w:szCs w:val="19"/>
          <w:lang w:eastAsia="pl-PL"/>
        </w:rPr>
        <w:t>oraz</w:t>
      </w:r>
      <w:r w:rsidRPr="005B08C0">
        <w:rPr>
          <w:rFonts w:eastAsia="Times New Roman" w:cs="Times New Roman"/>
          <w:szCs w:val="19"/>
          <w:lang w:eastAsia="pl-PL"/>
        </w:rPr>
        <w:t xml:space="preserve"> budownictwo (</w:t>
      </w:r>
      <w:r w:rsidR="008A4C40">
        <w:rPr>
          <w:rFonts w:eastAsia="Times New Roman" w:cs="Times New Roman"/>
          <w:szCs w:val="19"/>
          <w:lang w:eastAsia="pl-PL"/>
        </w:rPr>
        <w:t>p</w:t>
      </w:r>
      <w:r w:rsidRPr="005B08C0">
        <w:rPr>
          <w:rFonts w:eastAsia="Times New Roman" w:cs="Times New Roman"/>
          <w:szCs w:val="19"/>
          <w:lang w:eastAsia="pl-PL"/>
        </w:rPr>
        <w:t>o 6,4%). Natomiast spadek liczby podmiotów odnotowano w sekcji górnictwo i wydobywanie (o 1,4%).</w:t>
      </w:r>
    </w:p>
    <w:p w14:paraId="02D207B2" w14:textId="729680F9" w:rsidR="007D25F5" w:rsidRPr="007D25F5" w:rsidRDefault="00417654" w:rsidP="00676713">
      <w:pPr>
        <w:pStyle w:val="Tytuwykresu0"/>
        <w:spacing w:line="240" w:lineRule="auto"/>
      </w:pPr>
      <w:r w:rsidRPr="00417654">
        <w:rPr>
          <w:szCs w:val="19"/>
        </w:rPr>
        <w:drawing>
          <wp:anchor distT="0" distB="0" distL="114300" distR="114300" simplePos="0" relativeHeight="251812864" behindDoc="0" locked="0" layoutInCell="1" allowOverlap="1" wp14:anchorId="1C4B8B87" wp14:editId="331498F8">
            <wp:simplePos x="0" y="0"/>
            <wp:positionH relativeFrom="column">
              <wp:posOffset>335963</wp:posOffset>
            </wp:positionH>
            <wp:positionV relativeFrom="paragraph">
              <wp:posOffset>361267</wp:posOffset>
            </wp:positionV>
            <wp:extent cx="4839335" cy="1794510"/>
            <wp:effectExtent l="0" t="0" r="0" b="0"/>
            <wp:wrapTopAndBottom/>
            <wp:docPr id="5" name="Obraz 5" descr="Na wykresie liniowym zaprezentowano liczbę podmiotów nowo zarejestrowanych (linia granatowa) oraz wyrejestrowanych (linia niebieska) w miesiącach lat 2021 i 2022 . Dane do wykresu dostępne są w załączonym pliku excel." title="Wykres 5. Podmioty nowo zarejestrowane i wyrejestrow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Moje dokumenty\Publikacje\Sygnalne\Statystyka Warszawy\2022\04\wykresy\podmioty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335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25F5" w:rsidRPr="009E265D">
        <w:rPr>
          <w:rFonts w:ascii="Fira Sans" w:hAnsi="Fira Sans"/>
        </w:rPr>
        <w:t>Wykres 5. Podmioty nowo zarejestrowane i wyrejestrowan</w:t>
      </w:r>
      <w:r w:rsidR="007D25F5" w:rsidRPr="007D25F5">
        <w:t>e</w:t>
      </w:r>
    </w:p>
    <w:p w14:paraId="24EA1CAC" w14:textId="41A85A21" w:rsidR="00793B23" w:rsidRDefault="00D506C3" w:rsidP="00793B23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9E265D">
        <w:rPr>
          <w:rFonts w:eastAsia="Times New Roman" w:cs="Times New Roman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88288" behindDoc="1" locked="0" layoutInCell="1" allowOverlap="1" wp14:anchorId="34867ADF" wp14:editId="3585DCDE">
                <wp:simplePos x="0" y="0"/>
                <wp:positionH relativeFrom="column">
                  <wp:posOffset>5311092</wp:posOffset>
                </wp:positionH>
                <wp:positionV relativeFrom="paragraph">
                  <wp:posOffset>1839032</wp:posOffset>
                </wp:positionV>
                <wp:extent cx="1725295" cy="1267460"/>
                <wp:effectExtent l="0" t="0" r="0" b="0"/>
                <wp:wrapTight wrapText="bothSides">
                  <wp:wrapPolygon edited="0">
                    <wp:start x="715" y="0"/>
                    <wp:lineTo x="715" y="21102"/>
                    <wp:lineTo x="20749" y="21102"/>
                    <wp:lineTo x="20749" y="0"/>
                    <wp:lineTo x="715" y="0"/>
                  </wp:wrapPolygon>
                </wp:wrapTight>
                <wp:docPr id="31" name="Pole tekstowe 31" descr="W kwietniu 2022 r. liczba nowo zarejestrowanych podmiotów była o 19,2% większa niż miesiąc wcześniej, a liczba zawieszonych działalności wzrosła o 1,6%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67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903E2" w14:textId="0311228F" w:rsidR="00852D68" w:rsidRPr="000A42BD" w:rsidRDefault="00852D68" w:rsidP="009E265D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 w:rsidRPr="00852D68">
                              <w:t>W</w:t>
                            </w:r>
                            <w:bookmarkStart w:id="0" w:name="_GoBack"/>
                            <w:r w:rsidRPr="00852D68">
                              <w:t xml:space="preserve"> </w:t>
                            </w:r>
                            <w:r w:rsidR="00D506C3">
                              <w:t>kwietniu</w:t>
                            </w:r>
                            <w:r w:rsidRPr="00852D68">
                              <w:t xml:space="preserve"> 202</w:t>
                            </w:r>
                            <w:r w:rsidR="00E74DA8">
                              <w:t>2 r. liczba no</w:t>
                            </w:r>
                            <w:r w:rsidR="00835FE9">
                              <w:t>wo zarejestrowanych pod</w:t>
                            </w:r>
                            <w:r w:rsidRPr="00852D68">
                              <w:t xml:space="preserve">miotów była o </w:t>
                            </w:r>
                            <w:r w:rsidR="00D506C3">
                              <w:t>19,2</w:t>
                            </w:r>
                            <w:r w:rsidRPr="00852D68">
                              <w:t xml:space="preserve">% </w:t>
                            </w:r>
                            <w:r w:rsidR="00D506C3">
                              <w:t>mniej</w:t>
                            </w:r>
                            <w:r w:rsidRPr="00852D68">
                              <w:t>sza niż miesiąc wcześniej</w:t>
                            </w:r>
                            <w:r w:rsidR="002943B4">
                              <w:t xml:space="preserve">, </w:t>
                            </w:r>
                            <w:r w:rsidR="00D506C3">
                              <w:br/>
                            </w:r>
                            <w:r w:rsidR="002943B4">
                              <w:t>a liczba zawieszonych działal</w:t>
                            </w:r>
                            <w:r w:rsidRPr="00852D68">
                              <w:t xml:space="preserve">ności wzrosła o </w:t>
                            </w:r>
                            <w:r w:rsidR="00BA3569">
                              <w:t>1,</w:t>
                            </w:r>
                            <w:r w:rsidR="00D506C3">
                              <w:t>6</w:t>
                            </w:r>
                            <w:r w:rsidRPr="00852D68">
                              <w:t>%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67ADF" id="Pole tekstowe 31" o:spid="_x0000_s1039" type="#_x0000_t202" alt="Tytuł: Istotna informacja — opis: W kwietniu 2022 r. liczba nowo zarejestrowanych podmiotów była o 19,2% większa niż miesiąc wcześniej, a liczba zawieszonych działalności wzrosła o 1,6%" style="position:absolute;margin-left:418.2pt;margin-top:144.8pt;width:135.85pt;height:99.8pt;z-index:-251528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" filled="f" stroked="f">
                <v:textbox>
                  <w:txbxContent>
                    <w:p w14:paraId="470903E2" w14:textId="0311228F" w:rsidR="00852D68" w:rsidRPr="000A42BD" w:rsidRDefault="00852D68" w:rsidP="009E265D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 w:rsidRPr="00852D68">
                        <w:t xml:space="preserve">W </w:t>
                      </w:r>
                      <w:r w:rsidR="00D506C3">
                        <w:t>kwietniu</w:t>
                      </w:r>
                      <w:r w:rsidRPr="00852D68">
                        <w:t xml:space="preserve"> 202</w:t>
                      </w:r>
                      <w:r w:rsidR="00E74DA8">
                        <w:t>2 r. liczba no</w:t>
                      </w:r>
                      <w:r w:rsidR="00835FE9">
                        <w:t>wo zarejestrowanych pod</w:t>
                      </w:r>
                      <w:r w:rsidRPr="00852D68">
                        <w:t xml:space="preserve">miotów była o </w:t>
                      </w:r>
                      <w:r w:rsidR="00D506C3">
                        <w:t>19,2</w:t>
                      </w:r>
                      <w:r w:rsidRPr="00852D68">
                        <w:t xml:space="preserve">% </w:t>
                      </w:r>
                      <w:r w:rsidR="00D506C3">
                        <w:t>mniej</w:t>
                      </w:r>
                      <w:r w:rsidRPr="00852D68">
                        <w:t>sza niż miesiąc wcześniej</w:t>
                      </w:r>
                      <w:r w:rsidR="002943B4">
                        <w:t xml:space="preserve">, </w:t>
                      </w:r>
                      <w:r w:rsidR="00D506C3">
                        <w:br/>
                      </w:r>
                      <w:r w:rsidR="002943B4">
                        <w:t>a liczba zawieszonych działal</w:t>
                      </w:r>
                      <w:r w:rsidRPr="00852D68">
                        <w:t xml:space="preserve">ności wzrosła o </w:t>
                      </w:r>
                      <w:r w:rsidR="00BA3569">
                        <w:t>1,</w:t>
                      </w:r>
                      <w:r w:rsidR="00D506C3">
                        <w:t>6</w:t>
                      </w:r>
                      <w:r w:rsidRPr="00852D68"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ADDAAB0" w14:textId="34C9BC27" w:rsidR="00793B23" w:rsidRPr="007D25F5" w:rsidRDefault="005B08C0" w:rsidP="00793B23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5B08C0">
        <w:rPr>
          <w:rFonts w:eastAsia="Times New Roman" w:cs="Times New Roman"/>
          <w:spacing w:val="-2"/>
          <w:szCs w:val="19"/>
          <w:lang w:eastAsia="pl-PL"/>
        </w:rPr>
        <w:t>W kwietniu 2022 r. do rejestru REGON wpisanych zostało 3521 nowych podmiotów, tj. o 19,2% mniej niż w poprzednim miesiącu. Wśród nowo zarejestrowanych podmiotów przeważały osoby fizyczne prowadzące działalność gospodarczą – 2129 (o 13,2% mniej niż w marcu 2022 r.). Liczba nowo zarejestrowanych spółek handlowych była mniejsza niż przed miesiącem o 29,6%, w tym spółek z ograniczoną odpowiedzialnością – mniejsza o 29,8%.</w:t>
      </w:r>
    </w:p>
    <w:p w14:paraId="448CD283" w14:textId="3D5637A3" w:rsidR="007D25F5" w:rsidRPr="00FF36CE" w:rsidRDefault="005B08C0" w:rsidP="00FF36CE">
      <w:pPr>
        <w:spacing w:line="288" w:lineRule="auto"/>
        <w:rPr>
          <w:rFonts w:eastAsia="Times New Roman" w:cs="Times New Roman"/>
          <w:spacing w:val="-2"/>
          <w:szCs w:val="19"/>
          <w:lang w:eastAsia="pl-PL"/>
        </w:rPr>
      </w:pPr>
      <w:r w:rsidRPr="005B08C0">
        <w:rPr>
          <w:rFonts w:eastAsia="Times New Roman" w:cs="Times New Roman"/>
          <w:spacing w:val="-2"/>
          <w:szCs w:val="19"/>
          <w:lang w:eastAsia="pl-PL"/>
        </w:rPr>
        <w:t>W kwietniu 2022 r. wykreślono z rejestru REGON 2259 podmiotów (wobec 2017 w poprzednim miesiącu), w tym 1776 osób fizycznych prowadzących działalność gospodarczą (o 22,5% więcej).</w:t>
      </w:r>
    </w:p>
    <w:p w14:paraId="68B3901A" w14:textId="3EA79850" w:rsidR="00535A41" w:rsidRPr="00535A41" w:rsidRDefault="005B08C0" w:rsidP="00535A41">
      <w:pPr>
        <w:rPr>
          <w:rFonts w:eastAsia="Times New Roman" w:cs="Times New Roman"/>
          <w:szCs w:val="19"/>
          <w:lang w:eastAsia="pl-PL"/>
        </w:rPr>
      </w:pPr>
      <w:r w:rsidRPr="005B08C0">
        <w:rPr>
          <w:rFonts w:eastAsia="Times New Roman" w:cs="Times New Roman"/>
          <w:szCs w:val="19"/>
          <w:lang w:eastAsia="pl-PL"/>
        </w:rPr>
        <w:t>Według stanu w końcu kwietnia 2022 r. w rejestrze REGON 52573 podmioty miały zawieszoną działalność (o 1,6% więcej niż przed miesiącem). Zdecydowaną większość stanowiły osoby fizyczne prowadzące działalność gospodarczą (85,4%).</w:t>
      </w:r>
    </w:p>
    <w:p w14:paraId="6974D683" w14:textId="094CF730" w:rsidR="007D25F5" w:rsidRPr="000D1A42" w:rsidRDefault="007D25F5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4809D44B" w14:textId="72042094" w:rsidR="00694AF0" w:rsidRPr="007D25F5" w:rsidRDefault="007D25F5" w:rsidP="00A91006">
      <w:pPr>
        <w:spacing w:line="288" w:lineRule="auto"/>
        <w:rPr>
          <w:sz w:val="18"/>
        </w:rPr>
      </w:pPr>
      <w:r w:rsidRPr="007D25F5">
        <w:rPr>
          <w:rFonts w:eastAsia="Times New Roman" w:cs="Times New Roman"/>
          <w:szCs w:val="19"/>
          <w:lang w:eastAsia="pl-PL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</w:t>
      </w:r>
      <w:r w:rsidR="006F282F">
        <w:rPr>
          <w:rFonts w:eastAsia="Times New Roman" w:cs="Times New Roman"/>
          <w:szCs w:val="19"/>
          <w:lang w:eastAsia="pl-PL"/>
        </w:rPr>
        <w:t>.</w:t>
      </w:r>
    </w:p>
    <w:p w14:paraId="3C222B0C" w14:textId="77777777" w:rsidR="00DA331D" w:rsidRPr="007D25F5" w:rsidRDefault="00DA331D" w:rsidP="00DA331D">
      <w:pPr>
        <w:spacing w:before="360"/>
        <w:rPr>
          <w:sz w:val="18"/>
        </w:rPr>
        <w:sectPr w:rsidR="00DA331D" w:rsidRPr="007D25F5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A2BA7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084931B3" w:rsidR="00DE2400" w:rsidRPr="00676713" w:rsidRDefault="000D1A42" w:rsidP="00676713">
            <w:pPr>
              <w:pStyle w:val="Nagwek7"/>
              <w:spacing w:after="120"/>
              <w:outlineLvl w:val="6"/>
              <w:rPr>
                <w:rFonts w:cs="Arial"/>
                <w:color w:val="000000" w:themeColor="text1"/>
                <w:szCs w:val="22"/>
                <w:lang w:val="pl-PL"/>
              </w:rPr>
            </w:pPr>
            <w:r w:rsidRPr="00676713">
              <w:rPr>
                <w:rFonts w:cs="Arial"/>
                <w:szCs w:val="22"/>
                <w:lang w:val="pl-PL"/>
              </w:rPr>
              <w:t>Urząd Statystyczny w Warszawie</w:t>
            </w:r>
          </w:p>
          <w:p w14:paraId="41A1AE38" w14:textId="5B728391" w:rsidR="00DE2400" w:rsidRPr="00484768" w:rsidRDefault="000D1A42" w:rsidP="00484768">
            <w:pPr>
              <w:pStyle w:val="Nagwek7"/>
              <w:outlineLvl w:val="6"/>
            </w:pPr>
            <w:r w:rsidRPr="00484768">
              <w:t>Dyrektor Zofia Kozłowska</w:t>
            </w:r>
          </w:p>
          <w:p w14:paraId="5425F0B4" w14:textId="3987E5D7" w:rsidR="00DE2400" w:rsidRPr="00AB24E4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</w:t>
            </w:r>
            <w:r w:rsidR="000D1A42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.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: 22 </w:t>
            </w:r>
            <w:r w:rsidR="000D1A42" w:rsidRPr="000D1A42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464 23 15</w:t>
            </w:r>
          </w:p>
        </w:tc>
        <w:tc>
          <w:tcPr>
            <w:tcW w:w="4927" w:type="dxa"/>
          </w:tcPr>
          <w:p w14:paraId="4E8FFA16" w14:textId="749729FD"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="002774DD" w:rsidRPr="002774DD">
              <w:rPr>
                <w:rFonts w:cs="Arial"/>
                <w:b/>
                <w:sz w:val="20"/>
              </w:rPr>
              <w:t>Centrum Informacji Statystycznej</w:t>
            </w:r>
          </w:p>
          <w:p w14:paraId="002AFD75" w14:textId="77777777" w:rsidR="002774DD" w:rsidRDefault="002774DD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2774DD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Marcin Kałuski</w:t>
            </w:r>
          </w:p>
          <w:p w14:paraId="59C02E89" w14:textId="3B584E2B" w:rsidR="00DE2400" w:rsidRDefault="002774DD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2774DD">
              <w:rPr>
                <w:rFonts w:ascii="Fira Sans" w:hAnsi="Fira Sans" w:cs="Arial"/>
                <w:color w:val="auto"/>
                <w:sz w:val="20"/>
                <w:lang w:val="fi-FI"/>
              </w:rPr>
              <w:t>Tel.: 22 464 20 91</w:t>
            </w:r>
          </w:p>
          <w:p w14:paraId="28D502D8" w14:textId="77777777" w:rsidR="002774DD" w:rsidRDefault="002774DD" w:rsidP="002774DD">
            <w:pPr>
              <w:rPr>
                <w:lang w:val="fi-FI"/>
              </w:rPr>
            </w:pPr>
          </w:p>
          <w:p w14:paraId="0EDAEF17" w14:textId="77777777" w:rsidR="002774DD" w:rsidRPr="002774DD" w:rsidRDefault="002774DD" w:rsidP="002774DD">
            <w:pPr>
              <w:rPr>
                <w:lang w:val="fi-FI"/>
              </w:rPr>
            </w:pP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3E76F6" w14:paraId="28647E7C" w14:textId="77777777" w:rsidTr="00BA2BA7">
        <w:trPr>
          <w:trHeight w:val="418"/>
        </w:trPr>
        <w:tc>
          <w:tcPr>
            <w:tcW w:w="4926" w:type="dxa"/>
            <w:vMerge w:val="restart"/>
          </w:tcPr>
          <w:p w14:paraId="076C640B" w14:textId="5482FC10" w:rsidR="003E76F6" w:rsidRPr="00CA337A" w:rsidRDefault="002774DD" w:rsidP="003E76F6">
            <w:pPr>
              <w:rPr>
                <w:b/>
                <w:sz w:val="20"/>
                <w:lang w:val="en-GB"/>
              </w:rPr>
            </w:pPr>
            <w:r w:rsidRPr="00CA337A">
              <w:rPr>
                <w:b/>
                <w:sz w:val="20"/>
                <w:lang w:val="en-GB"/>
              </w:rPr>
              <w:t>Obsługa mediów</w:t>
            </w:r>
          </w:p>
          <w:p w14:paraId="6446B629" w14:textId="69A63891" w:rsidR="003E76F6" w:rsidRPr="002774DD" w:rsidRDefault="003E76F6" w:rsidP="003E76F6">
            <w:pPr>
              <w:rPr>
                <w:sz w:val="20"/>
                <w:lang w:val="en-GB"/>
              </w:rPr>
            </w:pPr>
            <w:r w:rsidRPr="002774DD">
              <w:rPr>
                <w:sz w:val="20"/>
                <w:lang w:val="en-GB"/>
              </w:rPr>
              <w:t>Tel</w:t>
            </w:r>
            <w:r w:rsidR="002774DD">
              <w:rPr>
                <w:sz w:val="20"/>
                <w:lang w:val="en-GB"/>
              </w:rPr>
              <w:t>.</w:t>
            </w:r>
            <w:r w:rsidRPr="002774DD">
              <w:rPr>
                <w:sz w:val="20"/>
                <w:lang w:val="en-GB"/>
              </w:rPr>
              <w:t xml:space="preserve">: 22 </w:t>
            </w:r>
            <w:r w:rsidR="002774DD" w:rsidRPr="002774DD">
              <w:rPr>
                <w:sz w:val="20"/>
                <w:lang w:val="en-GB"/>
              </w:rPr>
              <w:t>464 20 91</w:t>
            </w:r>
          </w:p>
          <w:p w14:paraId="07C73DA1" w14:textId="7F2AF090" w:rsidR="003E76F6" w:rsidRPr="00F05FC7" w:rsidRDefault="003E76F6" w:rsidP="003E76F6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r w:rsidR="002774DD" w:rsidRPr="002774DD"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  <w:lang w:val="en-US"/>
              </w:rPr>
              <w:t>m.kaluski@stat. gov.pl</w:t>
            </w:r>
          </w:p>
        </w:tc>
        <w:tc>
          <w:tcPr>
            <w:tcW w:w="4927" w:type="dxa"/>
            <w:vAlign w:val="center"/>
          </w:tcPr>
          <w:p w14:paraId="01941133" w14:textId="4F8AC7CE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50E62B1F" wp14:editId="2911155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1" w:history="1">
              <w:r w:rsidR="004E4AE9" w:rsidRPr="00BF32F1">
                <w:rPr>
                  <w:rStyle w:val="Hipercze"/>
                  <w:rFonts w:cstheme="minorBidi"/>
                  <w:color w:val="auto"/>
                  <w:sz w:val="20"/>
                </w:rPr>
                <w:t>warszawa</w:t>
              </w:r>
              <w:r w:rsidRPr="00BF32F1">
                <w:rPr>
                  <w:rStyle w:val="Hipercze"/>
                  <w:rFonts w:cstheme="minorBidi"/>
                  <w:color w:val="auto"/>
                  <w:sz w:val="20"/>
                </w:rPr>
                <w:t>.stat.gov.pl</w:t>
              </w:r>
            </w:hyperlink>
            <w:r w:rsidRPr="00BF32F1">
              <w:rPr>
                <w:sz w:val="18"/>
              </w:rPr>
              <w:t xml:space="preserve">      </w:t>
            </w:r>
          </w:p>
        </w:tc>
      </w:tr>
      <w:tr w:rsidR="003E76F6" w14:paraId="36A99721" w14:textId="77777777" w:rsidTr="00BA2BA7">
        <w:trPr>
          <w:trHeight w:val="418"/>
        </w:trPr>
        <w:tc>
          <w:tcPr>
            <w:tcW w:w="4926" w:type="dxa"/>
            <w:vMerge/>
          </w:tcPr>
          <w:p w14:paraId="3255344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790DDBF2" w:rsidR="003E76F6" w:rsidRDefault="00A25657" w:rsidP="004E4AE9">
            <w:pPr>
              <w:ind w:firstLine="680"/>
              <w:rPr>
                <w:sz w:val="18"/>
              </w:rPr>
            </w:pPr>
            <w:hyperlink r:id="rId22" w:history="1">
              <w:r w:rsidR="003E76F6" w:rsidRPr="00BF32F1">
                <w:rPr>
                  <w:rStyle w:val="Hipercze"/>
                  <w:rFonts w:cstheme="minorBidi"/>
                  <w:noProof/>
                  <w:color w:val="auto"/>
                  <w:sz w:val="20"/>
                  <w:lang w:eastAsia="pl-PL"/>
                </w:rPr>
                <w:drawing>
                  <wp:anchor distT="0" distB="0" distL="114300" distR="114300" simplePos="0" relativeHeight="251761664" behindDoc="0" locked="0" layoutInCell="1" allowOverlap="1" wp14:anchorId="08947A63" wp14:editId="4327E9C1">
                    <wp:simplePos x="0" y="0"/>
                    <wp:positionH relativeFrom="column">
                      <wp:posOffset>78740</wp:posOffset>
                    </wp:positionH>
                    <wp:positionV relativeFrom="paragraph">
                      <wp:posOffset>21590</wp:posOffset>
                    </wp:positionV>
                    <wp:extent cx="251460" cy="251460"/>
                    <wp:effectExtent l="0" t="0" r="0" b="0"/>
                    <wp:wrapNone/>
                    <wp:docPr id="22" name="Obraz 22" descr="Ikonka twitter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2" name="logo-04.png"/>
                            <pic:cNvPicPr/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3E76F6" w:rsidRPr="00BF32F1">
                <w:rPr>
                  <w:rStyle w:val="Hipercze"/>
                  <w:rFonts w:cstheme="minorBidi"/>
                  <w:color w:val="auto"/>
                  <w:sz w:val="20"/>
                </w:rPr>
                <w:t>@</w:t>
              </w:r>
              <w:r w:rsidR="004E4AE9" w:rsidRPr="00BF32F1">
                <w:rPr>
                  <w:rStyle w:val="Hipercze"/>
                  <w:rFonts w:cstheme="minorBidi"/>
                  <w:color w:val="auto"/>
                  <w:sz w:val="20"/>
                </w:rPr>
                <w:t>Warszawa</w:t>
              </w:r>
              <w:r w:rsidR="003E76F6" w:rsidRPr="00BF32F1">
                <w:rPr>
                  <w:rStyle w:val="Hipercze"/>
                  <w:rFonts w:cstheme="minorBidi"/>
                  <w:color w:val="auto"/>
                  <w:sz w:val="20"/>
                </w:rPr>
                <w:t>_STAT</w:t>
              </w:r>
            </w:hyperlink>
            <w:r w:rsidR="003E76F6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549C3B1C" w14:textId="77777777" w:rsidTr="00BA2BA7">
        <w:trPr>
          <w:trHeight w:val="476"/>
        </w:trPr>
        <w:tc>
          <w:tcPr>
            <w:tcW w:w="4926" w:type="dxa"/>
            <w:vMerge/>
          </w:tcPr>
          <w:p w14:paraId="231798A1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1A5589AB" w:rsidR="003E76F6" w:rsidRDefault="003E76F6" w:rsidP="003E76F6">
            <w:pPr>
              <w:ind w:firstLine="680"/>
              <w:rPr>
                <w:sz w:val="18"/>
              </w:rPr>
            </w:pPr>
            <w:r w:rsidRPr="00BF32F1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6977A389" wp14:editId="2DC99C6E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5" w:history="1">
              <w:r w:rsidR="004E4AE9" w:rsidRPr="00BF32F1">
                <w:rPr>
                  <w:rStyle w:val="Hipercze"/>
                  <w:rFonts w:cstheme="minorBidi"/>
                  <w:color w:val="auto"/>
                  <w:sz w:val="20"/>
                </w:rPr>
                <w:t>@</w:t>
              </w:r>
              <w:r w:rsidRPr="00BF32F1">
                <w:rPr>
                  <w:rStyle w:val="Hipercze"/>
                  <w:rFonts w:cstheme="minorBidi"/>
                  <w:color w:val="auto"/>
                  <w:sz w:val="20"/>
                </w:rPr>
                <w:t>UrzadStatystyczny</w:t>
              </w:r>
              <w:r w:rsidR="004E4AE9" w:rsidRPr="00BF32F1">
                <w:rPr>
                  <w:rStyle w:val="Hipercze"/>
                  <w:rFonts w:cstheme="minorBidi"/>
                  <w:color w:val="auto"/>
                  <w:sz w:val="20"/>
                </w:rPr>
                <w:t>wWarszawie</w:t>
              </w:r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037BF1E8" w14:textId="77777777" w:rsidTr="00BA2BA7">
        <w:trPr>
          <w:trHeight w:val="476"/>
        </w:trPr>
        <w:tc>
          <w:tcPr>
            <w:tcW w:w="4926" w:type="dxa"/>
          </w:tcPr>
          <w:p w14:paraId="067748D7" w14:textId="77777777" w:rsidR="003E76F6" w:rsidRPr="004E4AE9" w:rsidRDefault="003E76F6" w:rsidP="004E4AE9">
            <w:pPr>
              <w:pStyle w:val="Tematkomentarza"/>
              <w:spacing w:line="240" w:lineRule="exact"/>
              <w:rPr>
                <w:bCs w:val="0"/>
                <w:szCs w:val="22"/>
              </w:rPr>
            </w:pPr>
          </w:p>
        </w:tc>
        <w:tc>
          <w:tcPr>
            <w:tcW w:w="4927" w:type="dxa"/>
          </w:tcPr>
          <w:p w14:paraId="2932232B" w14:textId="7F33A3C7" w:rsidR="003E76F6" w:rsidRPr="003D5F42" w:rsidRDefault="003E76F6" w:rsidP="003E76F6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7B1F10FC" wp14:editId="71DB91F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15" name="Obraz 1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gus_stat</w:t>
            </w:r>
          </w:p>
        </w:tc>
      </w:tr>
      <w:tr w:rsidR="003E76F6" w14:paraId="72DB7653" w14:textId="77777777" w:rsidTr="00BA2BA7">
        <w:trPr>
          <w:trHeight w:val="476"/>
        </w:trPr>
        <w:tc>
          <w:tcPr>
            <w:tcW w:w="4926" w:type="dxa"/>
          </w:tcPr>
          <w:p w14:paraId="2EC3C9D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823720F" w14:textId="7CF94131" w:rsidR="003E76F6" w:rsidRPr="003D5F42" w:rsidRDefault="003E76F6" w:rsidP="003E76F6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4736" behindDoc="0" locked="0" layoutInCell="1" allowOverlap="1" wp14:anchorId="0146E340" wp14:editId="1788B7D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glownyurzadstatystycznygus</w:t>
            </w:r>
          </w:p>
        </w:tc>
      </w:tr>
      <w:tr w:rsidR="003E76F6" w14:paraId="58B7A5A2" w14:textId="77777777" w:rsidTr="00BA2BA7">
        <w:trPr>
          <w:trHeight w:val="953"/>
        </w:trPr>
        <w:tc>
          <w:tcPr>
            <w:tcW w:w="4926" w:type="dxa"/>
          </w:tcPr>
          <w:p w14:paraId="67322A8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A96DD62" w14:textId="16B26BDA" w:rsidR="003E76F6" w:rsidRPr="003D5F42" w:rsidRDefault="003E76F6" w:rsidP="003E76F6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5760" behindDoc="0" locked="0" layoutInCell="1" allowOverlap="1" wp14:anchorId="55E035BA" wp14:editId="157A0ED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7B308C" w14:paraId="385E56CC" w14:textId="77777777" w:rsidTr="00BA2BA7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3FA00415" w:rsidR="00DE2400" w:rsidRPr="00876479" w:rsidRDefault="00523269" w:rsidP="00747B8C">
            <w:pPr>
              <w:shd w:val="clear" w:color="auto" w:fill="D9D9D9" w:themeFill="background1" w:themeFillShade="D9"/>
              <w:rPr>
                <w:b/>
              </w:rPr>
            </w:pPr>
            <w:r w:rsidRPr="00E304C5">
              <w:rPr>
                <w:noProof/>
                <w:lang w:eastAsia="pl-PL"/>
              </w:rPr>
              <w:drawing>
                <wp:anchor distT="0" distB="0" distL="114300" distR="114300" simplePos="0" relativeHeight="251796480" behindDoc="0" locked="0" layoutInCell="1" allowOverlap="1" wp14:anchorId="30826A0C" wp14:editId="156EA458">
                  <wp:simplePos x="0" y="0"/>
                  <wp:positionH relativeFrom="column">
                    <wp:posOffset>4526280</wp:posOffset>
                  </wp:positionH>
                  <wp:positionV relativeFrom="paragraph">
                    <wp:posOffset>56515</wp:posOffset>
                  </wp:positionV>
                  <wp:extent cx="1621155" cy="883920"/>
                  <wp:effectExtent l="0" t="0" r="0" b="0"/>
                  <wp:wrapThrough wrapText="bothSides">
                    <wp:wrapPolygon edited="0">
                      <wp:start x="10660" y="0"/>
                      <wp:lineTo x="9899" y="931"/>
                      <wp:lineTo x="9899" y="3259"/>
                      <wp:lineTo x="10153" y="7448"/>
                      <wp:lineTo x="0" y="12569"/>
                      <wp:lineTo x="0" y="20948"/>
                      <wp:lineTo x="254" y="20948"/>
                      <wp:lineTo x="1777" y="20948"/>
                      <wp:lineTo x="21321" y="20483"/>
                      <wp:lineTo x="21321" y="931"/>
                      <wp:lineTo x="21067" y="0"/>
                      <wp:lineTo x="10660" y="0"/>
                    </wp:wrapPolygon>
                  </wp:wrapThrough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ceń opracowanie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E2400" w:rsidRPr="00210B1C">
              <w:rPr>
                <w:b/>
              </w:rPr>
              <w:t>Powiązane opracowania</w:t>
            </w:r>
          </w:p>
          <w:p w14:paraId="458D3940" w14:textId="5E42221E" w:rsidR="00DE2400" w:rsidRPr="00CF18EE" w:rsidRDefault="00CF18EE" w:rsidP="00747B8C">
            <w:pPr>
              <w:rPr>
                <w:rStyle w:val="Hipercze"/>
              </w:rPr>
            </w:pPr>
            <w:r>
              <w:rPr>
                <w:rFonts w:cs="Times New Roman"/>
              </w:rPr>
              <w:fldChar w:fldCharType="begin"/>
            </w:r>
            <w:r w:rsidR="00CE398A">
              <w:rPr>
                <w:rFonts w:cs="Times New Roman"/>
              </w:rPr>
              <w:instrText>HYPERLINK "https://warszawa.stat.gov.pl/opracowania-biezace/komunikaty-i-biuletyny/" \o "Linko do komunikatów i biuletynów"</w:instrText>
            </w:r>
            <w:r>
              <w:rPr>
                <w:rFonts w:cs="Times New Roman"/>
              </w:rPr>
              <w:fldChar w:fldCharType="separate"/>
            </w:r>
            <w:r w:rsidR="000D1A42" w:rsidRPr="000D1A42">
              <w:rPr>
                <w:rStyle w:val="Hipercze"/>
              </w:rPr>
              <w:t>Komunikaty i biuletyny</w:t>
            </w:r>
          </w:p>
          <w:p w14:paraId="55DA24D0" w14:textId="22850639" w:rsidR="00DE2400" w:rsidRPr="00694D63" w:rsidRDefault="00CF18EE" w:rsidP="000D1A42">
            <w:pPr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 w:rsidR="00B16871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CC3343A" w14:textId="2DCFF10B" w:rsidR="00DE2400" w:rsidRPr="00CF18EE" w:rsidRDefault="00CF18EE" w:rsidP="00747B8C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begin"/>
            </w:r>
            <w:r w:rsidR="00CE398A">
              <w:rPr>
                <w:rFonts w:cs="Times New Roman"/>
              </w:rPr>
              <w:instrText>HYPERLINK "https://bdl.stat.gov.pl/BDL/dane/podgrup/temat" \o "Link do bazy danych Bank Danych Lokalnych"</w:instrText>
            </w:r>
            <w:r>
              <w:rPr>
                <w:rFonts w:cs="Times New Roman"/>
              </w:rPr>
              <w:fldChar w:fldCharType="separate"/>
            </w:r>
            <w:r w:rsidR="007B308C" w:rsidRPr="007B308C">
              <w:rPr>
                <w:rStyle w:val="Hipercze"/>
              </w:rPr>
              <w:t>Bank Danych Lokalnych → Rynek pracy</w:t>
            </w:r>
          </w:p>
          <w:p w14:paraId="6EC7A51E" w14:textId="234D9AFF" w:rsidR="00B16871" w:rsidRPr="00694D63" w:rsidRDefault="00CF18EE" w:rsidP="007B308C">
            <w:pPr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 w:rsidR="00B16871"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2487F0E6" w14:textId="343E6634" w:rsidR="007B308C" w:rsidRPr="007B308C" w:rsidRDefault="00A25657" w:rsidP="007B308C">
            <w:pPr>
              <w:rPr>
                <w:rStyle w:val="Hipercze"/>
              </w:rPr>
            </w:pPr>
            <w:hyperlink r:id="rId30" w:tooltip="Link do pojęcia zarejestrowani bezrobotni w ramach słownika pojęć" w:history="1">
              <w:r w:rsidR="007B308C" w:rsidRPr="007B308C">
                <w:rPr>
                  <w:rStyle w:val="Hipercze"/>
                </w:rPr>
                <w:t>Bezrobotni</w:t>
              </w:r>
            </w:hyperlink>
            <w:r w:rsidR="007B308C" w:rsidRPr="007B308C">
              <w:rPr>
                <w:rStyle w:val="Hipercze"/>
              </w:rPr>
              <w:t xml:space="preserve"> zarejestrowani</w:t>
            </w:r>
          </w:p>
          <w:p w14:paraId="0E3160E1" w14:textId="3FBCE0DE" w:rsidR="007B308C" w:rsidRPr="007B308C" w:rsidRDefault="00A25657" w:rsidP="007B308C">
            <w:pPr>
              <w:rPr>
                <w:rStyle w:val="Hipercze"/>
              </w:rPr>
            </w:pPr>
            <w:hyperlink r:id="rId31" w:tooltip="Link do pojęcia stopa bezrobocia rejestrowanego w ramach słownika pojęć" w:history="1">
              <w:r w:rsidR="007B308C" w:rsidRPr="007B308C">
                <w:rPr>
                  <w:rStyle w:val="Hipercze"/>
                </w:rPr>
                <w:t>Stopa bezrobocia rejestrowanego</w:t>
              </w:r>
            </w:hyperlink>
          </w:p>
          <w:p w14:paraId="175E497E" w14:textId="0055B614" w:rsidR="007B308C" w:rsidRPr="007B308C" w:rsidRDefault="00A25657" w:rsidP="007B308C">
            <w:pPr>
              <w:rPr>
                <w:rStyle w:val="Hipercze"/>
              </w:rPr>
            </w:pPr>
            <w:hyperlink r:id="rId32" w:tooltip="LInk do pojęcia przeciętne zatrudnienie w ramach słownika pojęć" w:history="1">
              <w:r w:rsidR="007B308C" w:rsidRPr="007B308C">
                <w:rPr>
                  <w:rStyle w:val="Hipercze"/>
                </w:rPr>
                <w:t>Przeciętne zatrudnienie</w:t>
              </w:r>
            </w:hyperlink>
          </w:p>
          <w:p w14:paraId="173631A1" w14:textId="7EABC74D" w:rsidR="007B308C" w:rsidRDefault="00A25657" w:rsidP="007B308C">
            <w:pPr>
              <w:rPr>
                <w:rStyle w:val="Hipercze"/>
              </w:rPr>
            </w:pPr>
            <w:hyperlink r:id="rId33" w:tooltip="LInk do pojęcia przeciętne miesięczne wynagrodzenie brutto w ramach słownika pojęć" w:history="1">
              <w:r w:rsidR="007B308C" w:rsidRPr="007B308C">
                <w:rPr>
                  <w:rStyle w:val="Hipercze"/>
                </w:rPr>
                <w:t>Przeciętne miesięczne wynagrodzenie brutto</w:t>
              </w:r>
            </w:hyperlink>
          </w:p>
          <w:p w14:paraId="195D3694" w14:textId="04DC794B" w:rsidR="00523269" w:rsidRPr="007B308C" w:rsidRDefault="00A25657" w:rsidP="007B308C">
            <w:pPr>
              <w:rPr>
                <w:rStyle w:val="Hipercze"/>
              </w:rPr>
            </w:pPr>
            <w:hyperlink r:id="rId34" w:tooltip="LInk do pojęcia mieszkania oddane do użytkowania w ramach słownika pojęć" w:history="1">
              <w:r w:rsidR="00523269" w:rsidRPr="00523269">
                <w:rPr>
                  <w:rStyle w:val="Hipercze"/>
                </w:rPr>
                <w:t>Mieszkania oddane do użytkowania</w:t>
              </w:r>
            </w:hyperlink>
          </w:p>
          <w:p w14:paraId="3C417703" w14:textId="42B76FA9" w:rsidR="007B308C" w:rsidRPr="007B308C" w:rsidRDefault="00A25657" w:rsidP="007B308C">
            <w:pPr>
              <w:rPr>
                <w:rStyle w:val="Hipercze"/>
              </w:rPr>
            </w:pPr>
            <w:hyperlink r:id="rId35" w:tooltip="LInk do pojęcia wskaźnik rentowności obrotu brutto w ramach słownika pojęć" w:history="1">
              <w:r w:rsidR="007B308C" w:rsidRPr="007B308C">
                <w:rPr>
                  <w:rStyle w:val="Hipercze"/>
                </w:rPr>
                <w:t>Wskaźnik rentowności obrotu brutto</w:t>
              </w:r>
            </w:hyperlink>
            <w:r w:rsidR="007B308C" w:rsidRPr="007B308C">
              <w:rPr>
                <w:rStyle w:val="Hipercze"/>
              </w:rPr>
              <w:t xml:space="preserve"> </w:t>
            </w:r>
          </w:p>
          <w:p w14:paraId="74120B68" w14:textId="55C16869" w:rsidR="00DE2400" w:rsidRPr="007B308C" w:rsidRDefault="00A25657" w:rsidP="007B308C">
            <w:pPr>
              <w:rPr>
                <w:b/>
                <w:color w:val="000000" w:themeColor="text1"/>
                <w:szCs w:val="24"/>
              </w:rPr>
            </w:pPr>
            <w:hyperlink r:id="rId36" w:tooltip="LInk do pojęcia wskaźnik rentowności obrotu netto w ramach słownika pojęć" w:history="1">
              <w:r w:rsidR="007B308C" w:rsidRPr="007B308C">
                <w:rPr>
                  <w:rStyle w:val="Hipercze"/>
                </w:rPr>
                <w:t>Wskaźnik rentowności obrotu netto</w:t>
              </w:r>
            </w:hyperlink>
          </w:p>
          <w:p w14:paraId="734C8732" w14:textId="77777777" w:rsidR="00DE2400" w:rsidRPr="007B308C" w:rsidRDefault="00DE2400" w:rsidP="00747B8C">
            <w:pPr>
              <w:rPr>
                <w:b/>
                <w:color w:val="000000" w:themeColor="text1"/>
                <w:szCs w:val="24"/>
              </w:rPr>
            </w:pPr>
          </w:p>
          <w:p w14:paraId="59EB7117" w14:textId="77777777" w:rsidR="00DE2400" w:rsidRPr="007B308C" w:rsidRDefault="00DE2400" w:rsidP="00747B8C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1634A8FA" w14:textId="77777777" w:rsidR="000470AA" w:rsidRPr="007B308C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7B308C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7B308C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1B68E34A" w14:textId="77777777" w:rsidR="000470AA" w:rsidRPr="007B308C" w:rsidRDefault="000470AA" w:rsidP="000470AA">
      <w:pPr>
        <w:rPr>
          <w:sz w:val="20"/>
        </w:rPr>
      </w:pPr>
    </w:p>
    <w:p w14:paraId="21E45930" w14:textId="77777777" w:rsidR="000470AA" w:rsidRPr="007B308C" w:rsidRDefault="000470AA" w:rsidP="000470AA">
      <w:pPr>
        <w:rPr>
          <w:sz w:val="18"/>
        </w:rPr>
      </w:pPr>
    </w:p>
    <w:p w14:paraId="7C19EFAE" w14:textId="5AAD912C" w:rsidR="00D261A2" w:rsidRPr="007B308C" w:rsidRDefault="00D261A2" w:rsidP="00AD0E56">
      <w:pPr>
        <w:rPr>
          <w:sz w:val="18"/>
        </w:rPr>
      </w:pPr>
    </w:p>
    <w:sectPr w:rsidR="00D261A2" w:rsidRPr="007B308C" w:rsidSect="003B18B6">
      <w:headerReference w:type="default" r:id="rId37"/>
      <w:footerReference w:type="default" r:id="rId3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A665E2" w14:textId="77777777" w:rsidR="00A25657" w:rsidRDefault="00A25657" w:rsidP="000662E2">
      <w:pPr>
        <w:spacing w:after="0" w:line="240" w:lineRule="auto"/>
      </w:pPr>
      <w:r>
        <w:separator/>
      </w:r>
    </w:p>
  </w:endnote>
  <w:endnote w:type="continuationSeparator" w:id="0">
    <w:p w14:paraId="71FC8689" w14:textId="77777777" w:rsidR="00A25657" w:rsidRDefault="00A2565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Light">
    <w:altName w:val="Fira Sans Light"/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54C601C4-3257-4E12-9444-146DBE9CBE2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F6C543C2-9A24-4C53-99F5-FB23B02E2713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3" w:fontKey="{D4C23D11-A066-4E3C-9CC7-45DFB942D765}"/>
    <w:embedBold r:id="rId4" w:fontKey="{07E3DBE8-E229-4DC8-86BC-54F34CAD8C45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3CAC">
          <w:rPr>
            <w:noProof/>
          </w:rPr>
          <w:t>6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61DB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3CAC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E475EB" w14:textId="77777777" w:rsidR="00A25657" w:rsidRDefault="00A25657" w:rsidP="000662E2">
      <w:pPr>
        <w:spacing w:after="0" w:line="240" w:lineRule="auto"/>
      </w:pPr>
      <w:r>
        <w:separator/>
      </w:r>
    </w:p>
  </w:footnote>
  <w:footnote w:type="continuationSeparator" w:id="0">
    <w:p w14:paraId="27E2591D" w14:textId="77777777" w:rsidR="00A25657" w:rsidRDefault="00A25657" w:rsidP="000662E2">
      <w:pPr>
        <w:spacing w:after="0" w:line="240" w:lineRule="auto"/>
      </w:pPr>
      <w:r>
        <w:continuationSeparator/>
      </w:r>
    </w:p>
  </w:footnote>
  <w:footnote w:id="1">
    <w:p w14:paraId="218F0870" w14:textId="51014E0B" w:rsidR="008C0962" w:rsidRPr="00D14157" w:rsidRDefault="008C0962" w:rsidP="00D14157">
      <w:pPr>
        <w:pStyle w:val="Tekstprzypisudolnego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D14157">
        <w:rPr>
          <w:sz w:val="19"/>
          <w:szCs w:val="19"/>
        </w:rPr>
        <w:t>Dane meldunkowe – mogą ulec zmianie po opracowaniu sprawozdań kwartalnych.</w:t>
      </w:r>
    </w:p>
  </w:footnote>
  <w:footnote w:id="2">
    <w:p w14:paraId="5723F8B8" w14:textId="5E14092F" w:rsidR="008C0962" w:rsidRDefault="008C0962" w:rsidP="00D14157">
      <w:pPr>
        <w:pStyle w:val="Tekstprzypisudolnego"/>
      </w:pPr>
      <w:r w:rsidRPr="00D14157">
        <w:rPr>
          <w:rStyle w:val="Odwoanieprzypisudolnego"/>
          <w:sz w:val="19"/>
          <w:szCs w:val="19"/>
        </w:rPr>
        <w:footnoteRef/>
      </w:r>
      <w:r w:rsidRPr="00D14157">
        <w:rPr>
          <w:sz w:val="19"/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1BA6DB" w14:textId="4A31ADE5" w:rsidR="000662E2" w:rsidRDefault="00852D68">
    <w:pPr>
      <w:pStyle w:val="Nagwek"/>
    </w:pPr>
    <w:r w:rsidRPr="00966C9A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7696" behindDoc="1" locked="0" layoutInCell="1" allowOverlap="1" wp14:anchorId="6EE91676" wp14:editId="7F0F98C3">
              <wp:simplePos x="0" y="0"/>
              <wp:positionH relativeFrom="column">
                <wp:posOffset>5372100</wp:posOffset>
              </wp:positionH>
              <wp:positionV relativeFrom="paragraph">
                <wp:posOffset>-3952240</wp:posOffset>
              </wp:positionV>
              <wp:extent cx="1725295" cy="831850"/>
              <wp:effectExtent l="0" t="0" r="0" b="6350"/>
              <wp:wrapTight wrapText="bothSides">
                <wp:wrapPolygon edited="0">
                  <wp:start x="715" y="0"/>
                  <wp:lineTo x="715" y="21270"/>
                  <wp:lineTo x="20749" y="21270"/>
                  <wp:lineTo x="20749" y="0"/>
                  <wp:lineTo x="715" y="0"/>
                </wp:wrapPolygon>
              </wp:wrapTight>
              <wp:docPr id="20" name="Pole tekstowe 20" descr="Lorem ipsum dolor sit amet, consectetur adipiscing eli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5295" cy="831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BE7CD91" w14:textId="77777777" w:rsidR="00852D68" w:rsidRPr="000A42BD" w:rsidRDefault="00852D68" w:rsidP="00852D68">
                          <w:pPr>
                            <w:pStyle w:val="tekstzboku"/>
                            <w:rPr>
                              <w:bCs w:val="0"/>
                            </w:rPr>
                          </w:pPr>
                          <w:r w:rsidRPr="000A42BD">
                            <w:t>W grudniu 2021 r. zgłoszono o 22,6% więcej ofert pracy niż przed rokiem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E91676" id="_x0000_t202" coordsize="21600,21600" o:spt="202" path="m,l,21600r21600,l21600,xe">
              <v:stroke joinstyle="miter"/>
              <v:path gradientshapeok="t" o:connecttype="rect"/>
            </v:shapetype>
            <v:shape id="Pole tekstowe 20" o:spid="_x0000_s1040" type="#_x0000_t202" alt="Lorem ipsum dolor sit amet, consectetur adipiscing elit" style="position:absolute;margin-left:423pt;margin-top:-311.2pt;width:135.85pt;height:65.5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" filled="f" stroked="f">
              <v:textbox>
                <w:txbxContent>
                  <w:p w14:paraId="4BE7CD91" w14:textId="77777777" w:rsidR="00852D68" w:rsidRPr="000A42BD" w:rsidRDefault="00852D68" w:rsidP="00852D68">
                    <w:pPr>
                      <w:pStyle w:val="tekstzboku"/>
                      <w:rPr>
                        <w:bCs w:val="0"/>
                      </w:rPr>
                    </w:pPr>
                    <w:r w:rsidRPr="000A42BD">
                      <w:t>W grudniu 2021 r. zgłoszono o 22,6% więcej ofert pracy niż przed rokiem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Pr="00966C9A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5648" behindDoc="1" locked="0" layoutInCell="1" allowOverlap="1" wp14:anchorId="117B2D4B" wp14:editId="3D855197">
              <wp:simplePos x="0" y="0"/>
              <wp:positionH relativeFrom="column">
                <wp:posOffset>5219700</wp:posOffset>
              </wp:positionH>
              <wp:positionV relativeFrom="paragraph">
                <wp:posOffset>-4104640</wp:posOffset>
              </wp:positionV>
              <wp:extent cx="1725295" cy="831850"/>
              <wp:effectExtent l="0" t="0" r="0" b="6350"/>
              <wp:wrapTight wrapText="bothSides">
                <wp:wrapPolygon edited="0">
                  <wp:start x="715" y="0"/>
                  <wp:lineTo x="715" y="21270"/>
                  <wp:lineTo x="20749" y="21270"/>
                  <wp:lineTo x="20749" y="0"/>
                  <wp:lineTo x="715" y="0"/>
                </wp:wrapPolygon>
              </wp:wrapTight>
              <wp:docPr id="19" name="Pole tekstowe 19" descr="Lorem ipsum dolor sit amet, consectetur adipiscing eli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5295" cy="831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9B0ED0F" w14:textId="77777777" w:rsidR="00852D68" w:rsidRPr="000A42BD" w:rsidRDefault="00852D68" w:rsidP="00852D68">
                          <w:pPr>
                            <w:pStyle w:val="tekstzboku"/>
                            <w:rPr>
                              <w:bCs w:val="0"/>
                            </w:rPr>
                          </w:pPr>
                          <w:r w:rsidRPr="000A42BD">
                            <w:t>W grudniu 2021 r. zgłoszono o 22,6% więcej ofert pracy niż przed rokiem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17B2D4B" id="Pole tekstowe 19" o:spid="_x0000_s1041" type="#_x0000_t202" alt="Lorem ipsum dolor sit amet, consectetur adipiscing elit" style="position:absolute;margin-left:411pt;margin-top:-323.2pt;width:135.85pt;height:65.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" filled="f" stroked="f">
              <v:textbox>
                <w:txbxContent>
                  <w:p w14:paraId="69B0ED0F" w14:textId="77777777" w:rsidR="00852D68" w:rsidRPr="000A42BD" w:rsidRDefault="00852D68" w:rsidP="00852D68">
                    <w:pPr>
                      <w:pStyle w:val="tekstzboku"/>
                      <w:rPr>
                        <w:bCs w:val="0"/>
                      </w:rPr>
                    </w:pPr>
                    <w:r w:rsidRPr="000A42BD">
                      <w:t>W grudniu 2021 r. zgłoszono o 22,6% więcej ofert pracy niż przed rokiem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="00D972F6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F34D8C" w14:textId="18343993" w:rsidR="00003437" w:rsidRDefault="00AE2D4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6917FEA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42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wc6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BvIwc6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45C1A999" w14:textId="60D34767" w:rsidR="00540C5C" w:rsidRDefault="00EA78FB">
    <w:pPr>
      <w:pStyle w:val="Nagwek"/>
      <w:rPr>
        <w:noProof/>
        <w:lang w:eastAsia="pl-PL"/>
      </w:rPr>
    </w:pPr>
    <w:r w:rsidRPr="00712CBD">
      <w:rPr>
        <w:noProof/>
        <w:lang w:eastAsia="pl-PL"/>
      </w:rPr>
      <w:drawing>
        <wp:inline distT="0" distB="0" distL="0" distR="0" wp14:anchorId="37610101" wp14:editId="284E3CF7">
          <wp:extent cx="1371600" cy="425450"/>
          <wp:effectExtent l="0" t="0" r="0" b="0"/>
          <wp:docPr id="7" name="Obraz 7" descr="Logotyp Urzędu Statystycznego w Warszawie przedstawiający dwa koła, jedno koloru zielonego, drugie niebieskiego, nachodzące na siebie pionowo. Obok napis Urząd Statystyczny w Warszawi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PodolskaJ1.STAT\AppData\Local\Microsoft\Windows\INetCache\Content.Outlook\YNG7HIAL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25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0290A241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30 maja 2022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5E5B1C00" w:rsidR="00F37172" w:rsidRPr="00A01B40" w:rsidRDefault="00B47661" w:rsidP="00F049AB">
                          <w:pPr>
                            <w:pStyle w:val="Datainformacjisygnalnej"/>
                          </w:pPr>
                          <w:r>
                            <w:t>30</w:t>
                          </w:r>
                          <w:r w:rsidR="00DE6B58">
                            <w:t>.</w:t>
                          </w:r>
                          <w:r w:rsidR="00764F09">
                            <w:t>0</w:t>
                          </w:r>
                          <w:r>
                            <w:t>5</w:t>
                          </w:r>
                          <w:r w:rsidR="00DE6B58">
                            <w:t>.</w:t>
                          </w:r>
                          <w:r w:rsidR="00EA78FB">
                            <w:t>2022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alt="Data publikacji informacji sygnalnej 30 maja 2022 roku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" filled="f" stroked="f">
              <v:textbox>
                <w:txbxContent>
                  <w:p w14:paraId="71967FEA" w14:textId="5E5B1C00" w:rsidR="00F37172" w:rsidRPr="00A01B40" w:rsidRDefault="00B47661" w:rsidP="00F049AB">
                    <w:pPr>
                      <w:pStyle w:val="Datainformacjisygnalnej"/>
                    </w:pPr>
                    <w:r>
                      <w:t>30</w:t>
                    </w:r>
                    <w:r w:rsidR="00DE6B58">
                      <w:t>.</w:t>
                    </w:r>
                    <w:r w:rsidR="00764F09">
                      <w:t>0</w:t>
                    </w:r>
                    <w:r>
                      <w:t>5</w:t>
                    </w:r>
                    <w:r w:rsidR="00DE6B58">
                      <w:t>.</w:t>
                    </w:r>
                    <w:r w:rsidR="00EA78FB">
                      <w:t>2022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23.75pt;height:125.25pt;visibility:visible;mso-wrap-style:square" o:bullet="t">
        <v:imagedata r:id="rId1" o:title=""/>
      </v:shape>
    </w:pict>
  </w:numPicBullet>
  <w:numPicBullet w:numPicBulletId="1">
    <w:pict>
      <v:shape id="_x0000_i1035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25D93"/>
    <w:rsid w:val="000443E6"/>
    <w:rsid w:val="00044B3A"/>
    <w:rsid w:val="0004582E"/>
    <w:rsid w:val="000470AA"/>
    <w:rsid w:val="00057CA1"/>
    <w:rsid w:val="000647A9"/>
    <w:rsid w:val="000662E2"/>
    <w:rsid w:val="00066883"/>
    <w:rsid w:val="00071571"/>
    <w:rsid w:val="00071B39"/>
    <w:rsid w:val="00074DD8"/>
    <w:rsid w:val="00075759"/>
    <w:rsid w:val="000806F7"/>
    <w:rsid w:val="000850D7"/>
    <w:rsid w:val="00092305"/>
    <w:rsid w:val="00096290"/>
    <w:rsid w:val="00097840"/>
    <w:rsid w:val="000A36CE"/>
    <w:rsid w:val="000A42BD"/>
    <w:rsid w:val="000A6D3A"/>
    <w:rsid w:val="000A7659"/>
    <w:rsid w:val="000B0727"/>
    <w:rsid w:val="000C059F"/>
    <w:rsid w:val="000C135D"/>
    <w:rsid w:val="000D1A42"/>
    <w:rsid w:val="000D1D43"/>
    <w:rsid w:val="000D225C"/>
    <w:rsid w:val="000D2A5C"/>
    <w:rsid w:val="000D39F0"/>
    <w:rsid w:val="000E0918"/>
    <w:rsid w:val="000E79A9"/>
    <w:rsid w:val="000F52E7"/>
    <w:rsid w:val="000F653B"/>
    <w:rsid w:val="001011C3"/>
    <w:rsid w:val="00106DA3"/>
    <w:rsid w:val="00110214"/>
    <w:rsid w:val="00110D87"/>
    <w:rsid w:val="00112399"/>
    <w:rsid w:val="00114DB9"/>
    <w:rsid w:val="00116087"/>
    <w:rsid w:val="00117711"/>
    <w:rsid w:val="001237AF"/>
    <w:rsid w:val="00130296"/>
    <w:rsid w:val="00134145"/>
    <w:rsid w:val="00136736"/>
    <w:rsid w:val="00136D67"/>
    <w:rsid w:val="001423B6"/>
    <w:rsid w:val="0014280E"/>
    <w:rsid w:val="001448A7"/>
    <w:rsid w:val="00146621"/>
    <w:rsid w:val="001617E3"/>
    <w:rsid w:val="00162325"/>
    <w:rsid w:val="00163231"/>
    <w:rsid w:val="00165894"/>
    <w:rsid w:val="00174CC6"/>
    <w:rsid w:val="0018270D"/>
    <w:rsid w:val="001951DA"/>
    <w:rsid w:val="001B053D"/>
    <w:rsid w:val="001C3269"/>
    <w:rsid w:val="001D19B6"/>
    <w:rsid w:val="001D1DB4"/>
    <w:rsid w:val="001D23F1"/>
    <w:rsid w:val="001D25F9"/>
    <w:rsid w:val="001D61ED"/>
    <w:rsid w:val="001E18FE"/>
    <w:rsid w:val="001E45F0"/>
    <w:rsid w:val="001E5B2D"/>
    <w:rsid w:val="0020156C"/>
    <w:rsid w:val="00215211"/>
    <w:rsid w:val="00216634"/>
    <w:rsid w:val="00217D04"/>
    <w:rsid w:val="00217E16"/>
    <w:rsid w:val="00242D31"/>
    <w:rsid w:val="00243430"/>
    <w:rsid w:val="00245880"/>
    <w:rsid w:val="0025481E"/>
    <w:rsid w:val="00255CFB"/>
    <w:rsid w:val="00256706"/>
    <w:rsid w:val="00257299"/>
    <w:rsid w:val="002574F9"/>
    <w:rsid w:val="00262B61"/>
    <w:rsid w:val="00262CC6"/>
    <w:rsid w:val="00263E08"/>
    <w:rsid w:val="002753E1"/>
    <w:rsid w:val="00276811"/>
    <w:rsid w:val="002774DD"/>
    <w:rsid w:val="00282699"/>
    <w:rsid w:val="002926DF"/>
    <w:rsid w:val="002943B4"/>
    <w:rsid w:val="00296697"/>
    <w:rsid w:val="002A2E23"/>
    <w:rsid w:val="002B0472"/>
    <w:rsid w:val="002B6B12"/>
    <w:rsid w:val="002C09DD"/>
    <w:rsid w:val="002C21F0"/>
    <w:rsid w:val="002C56B2"/>
    <w:rsid w:val="002D01DF"/>
    <w:rsid w:val="002D033C"/>
    <w:rsid w:val="002D219E"/>
    <w:rsid w:val="002D4C33"/>
    <w:rsid w:val="002E3EB3"/>
    <w:rsid w:val="002E6140"/>
    <w:rsid w:val="002E6985"/>
    <w:rsid w:val="002E71B6"/>
    <w:rsid w:val="002F35F6"/>
    <w:rsid w:val="002F77C8"/>
    <w:rsid w:val="0030418E"/>
    <w:rsid w:val="00304F22"/>
    <w:rsid w:val="003061DB"/>
    <w:rsid w:val="00306C7C"/>
    <w:rsid w:val="00310C0A"/>
    <w:rsid w:val="00314F86"/>
    <w:rsid w:val="00316EC6"/>
    <w:rsid w:val="00317F4D"/>
    <w:rsid w:val="00322EDD"/>
    <w:rsid w:val="003304BF"/>
    <w:rsid w:val="003309FA"/>
    <w:rsid w:val="00332320"/>
    <w:rsid w:val="003421EB"/>
    <w:rsid w:val="00347D72"/>
    <w:rsid w:val="003510CA"/>
    <w:rsid w:val="00352004"/>
    <w:rsid w:val="00353F45"/>
    <w:rsid w:val="00357611"/>
    <w:rsid w:val="0036432A"/>
    <w:rsid w:val="00364771"/>
    <w:rsid w:val="00364AF9"/>
    <w:rsid w:val="0036647E"/>
    <w:rsid w:val="00367237"/>
    <w:rsid w:val="0037077F"/>
    <w:rsid w:val="00372411"/>
    <w:rsid w:val="00373882"/>
    <w:rsid w:val="003743FF"/>
    <w:rsid w:val="003819BA"/>
    <w:rsid w:val="003843DB"/>
    <w:rsid w:val="00393761"/>
    <w:rsid w:val="00394E26"/>
    <w:rsid w:val="00396691"/>
    <w:rsid w:val="00397D18"/>
    <w:rsid w:val="003A1B36"/>
    <w:rsid w:val="003B04CC"/>
    <w:rsid w:val="003B1454"/>
    <w:rsid w:val="003B18B6"/>
    <w:rsid w:val="003B7F46"/>
    <w:rsid w:val="003C161B"/>
    <w:rsid w:val="003C276D"/>
    <w:rsid w:val="003C3D32"/>
    <w:rsid w:val="003C4A76"/>
    <w:rsid w:val="003C59E0"/>
    <w:rsid w:val="003C6C8D"/>
    <w:rsid w:val="003D2656"/>
    <w:rsid w:val="003D31C4"/>
    <w:rsid w:val="003D4F95"/>
    <w:rsid w:val="003D5F42"/>
    <w:rsid w:val="003D60A9"/>
    <w:rsid w:val="003D67E0"/>
    <w:rsid w:val="003E615A"/>
    <w:rsid w:val="003E76F6"/>
    <w:rsid w:val="003F08C9"/>
    <w:rsid w:val="003F4C97"/>
    <w:rsid w:val="003F543E"/>
    <w:rsid w:val="003F666D"/>
    <w:rsid w:val="003F7FE6"/>
    <w:rsid w:val="00400193"/>
    <w:rsid w:val="00416EAF"/>
    <w:rsid w:val="00417654"/>
    <w:rsid w:val="004212E7"/>
    <w:rsid w:val="00423C88"/>
    <w:rsid w:val="0042446D"/>
    <w:rsid w:val="00427BF8"/>
    <w:rsid w:val="00431C02"/>
    <w:rsid w:val="00437395"/>
    <w:rsid w:val="00442D3A"/>
    <w:rsid w:val="00445047"/>
    <w:rsid w:val="00446749"/>
    <w:rsid w:val="00453EB7"/>
    <w:rsid w:val="00457427"/>
    <w:rsid w:val="00461CC6"/>
    <w:rsid w:val="00463E39"/>
    <w:rsid w:val="004657FC"/>
    <w:rsid w:val="004733F6"/>
    <w:rsid w:val="00474E69"/>
    <w:rsid w:val="00483E9F"/>
    <w:rsid w:val="00484768"/>
    <w:rsid w:val="00485A2C"/>
    <w:rsid w:val="0049621B"/>
    <w:rsid w:val="004A1D19"/>
    <w:rsid w:val="004A4C51"/>
    <w:rsid w:val="004C1895"/>
    <w:rsid w:val="004C1A38"/>
    <w:rsid w:val="004C6D40"/>
    <w:rsid w:val="004E4AE9"/>
    <w:rsid w:val="004E6AA8"/>
    <w:rsid w:val="004F0C3C"/>
    <w:rsid w:val="004F2280"/>
    <w:rsid w:val="004F23BB"/>
    <w:rsid w:val="004F63FC"/>
    <w:rsid w:val="00505A92"/>
    <w:rsid w:val="0051011D"/>
    <w:rsid w:val="00511ABC"/>
    <w:rsid w:val="00516C49"/>
    <w:rsid w:val="005203F1"/>
    <w:rsid w:val="00521BC3"/>
    <w:rsid w:val="00523269"/>
    <w:rsid w:val="00533632"/>
    <w:rsid w:val="00534013"/>
    <w:rsid w:val="00535A41"/>
    <w:rsid w:val="00540C5C"/>
    <w:rsid w:val="00541E6E"/>
    <w:rsid w:val="0054251F"/>
    <w:rsid w:val="005520D8"/>
    <w:rsid w:val="00555CFB"/>
    <w:rsid w:val="0055689D"/>
    <w:rsid w:val="00556CF1"/>
    <w:rsid w:val="005704B1"/>
    <w:rsid w:val="005762A7"/>
    <w:rsid w:val="00577A40"/>
    <w:rsid w:val="00587CEE"/>
    <w:rsid w:val="005916D7"/>
    <w:rsid w:val="0059427F"/>
    <w:rsid w:val="005A586A"/>
    <w:rsid w:val="005A698C"/>
    <w:rsid w:val="005B08C0"/>
    <w:rsid w:val="005B5D3A"/>
    <w:rsid w:val="005C0CAC"/>
    <w:rsid w:val="005C683C"/>
    <w:rsid w:val="005D062E"/>
    <w:rsid w:val="005E0799"/>
    <w:rsid w:val="005E10F9"/>
    <w:rsid w:val="005E1200"/>
    <w:rsid w:val="005E673E"/>
    <w:rsid w:val="005F29AA"/>
    <w:rsid w:val="005F45EE"/>
    <w:rsid w:val="005F5A80"/>
    <w:rsid w:val="006044FF"/>
    <w:rsid w:val="00607CC5"/>
    <w:rsid w:val="0061179B"/>
    <w:rsid w:val="006125F9"/>
    <w:rsid w:val="00620AA2"/>
    <w:rsid w:val="00633014"/>
    <w:rsid w:val="0063437B"/>
    <w:rsid w:val="006364D6"/>
    <w:rsid w:val="0064017E"/>
    <w:rsid w:val="00654BB6"/>
    <w:rsid w:val="00657FAF"/>
    <w:rsid w:val="006673CA"/>
    <w:rsid w:val="00673C26"/>
    <w:rsid w:val="00674DE5"/>
    <w:rsid w:val="00676713"/>
    <w:rsid w:val="00677ACA"/>
    <w:rsid w:val="006812AF"/>
    <w:rsid w:val="0068307C"/>
    <w:rsid w:val="0068327D"/>
    <w:rsid w:val="00687255"/>
    <w:rsid w:val="00691534"/>
    <w:rsid w:val="00693880"/>
    <w:rsid w:val="00694AF0"/>
    <w:rsid w:val="006A4686"/>
    <w:rsid w:val="006B0E9E"/>
    <w:rsid w:val="006B486D"/>
    <w:rsid w:val="006B5AE4"/>
    <w:rsid w:val="006D1507"/>
    <w:rsid w:val="006D4054"/>
    <w:rsid w:val="006E02EC"/>
    <w:rsid w:val="006E3C4F"/>
    <w:rsid w:val="006E6F41"/>
    <w:rsid w:val="006E73E6"/>
    <w:rsid w:val="006F282F"/>
    <w:rsid w:val="007211B1"/>
    <w:rsid w:val="007277DA"/>
    <w:rsid w:val="00731D27"/>
    <w:rsid w:val="00733114"/>
    <w:rsid w:val="007420E9"/>
    <w:rsid w:val="0074476A"/>
    <w:rsid w:val="00746187"/>
    <w:rsid w:val="0076254F"/>
    <w:rsid w:val="00764F09"/>
    <w:rsid w:val="00771B80"/>
    <w:rsid w:val="007801F5"/>
    <w:rsid w:val="00783CA4"/>
    <w:rsid w:val="007842FB"/>
    <w:rsid w:val="00786124"/>
    <w:rsid w:val="007863C0"/>
    <w:rsid w:val="00793B23"/>
    <w:rsid w:val="0079514B"/>
    <w:rsid w:val="00795252"/>
    <w:rsid w:val="007A2DC1"/>
    <w:rsid w:val="007B308C"/>
    <w:rsid w:val="007C3E1E"/>
    <w:rsid w:val="007C7B76"/>
    <w:rsid w:val="007D0869"/>
    <w:rsid w:val="007D14C4"/>
    <w:rsid w:val="007D25F5"/>
    <w:rsid w:val="007D3319"/>
    <w:rsid w:val="007D335D"/>
    <w:rsid w:val="007D4320"/>
    <w:rsid w:val="007D605C"/>
    <w:rsid w:val="007E1E6A"/>
    <w:rsid w:val="007E3314"/>
    <w:rsid w:val="007E3514"/>
    <w:rsid w:val="007E4B03"/>
    <w:rsid w:val="007E51DD"/>
    <w:rsid w:val="007E6C48"/>
    <w:rsid w:val="007F324B"/>
    <w:rsid w:val="00803AF0"/>
    <w:rsid w:val="0080553C"/>
    <w:rsid w:val="00805B46"/>
    <w:rsid w:val="00805DB4"/>
    <w:rsid w:val="00823593"/>
    <w:rsid w:val="00825DC2"/>
    <w:rsid w:val="00833316"/>
    <w:rsid w:val="00834AD3"/>
    <w:rsid w:val="00835FE9"/>
    <w:rsid w:val="00843795"/>
    <w:rsid w:val="00843CAC"/>
    <w:rsid w:val="00847F0F"/>
    <w:rsid w:val="00852448"/>
    <w:rsid w:val="00852D68"/>
    <w:rsid w:val="00854C03"/>
    <w:rsid w:val="00867E26"/>
    <w:rsid w:val="0087069D"/>
    <w:rsid w:val="0087159F"/>
    <w:rsid w:val="00872881"/>
    <w:rsid w:val="00873CA0"/>
    <w:rsid w:val="00877F6C"/>
    <w:rsid w:val="0088258A"/>
    <w:rsid w:val="00886332"/>
    <w:rsid w:val="0088770B"/>
    <w:rsid w:val="008925F0"/>
    <w:rsid w:val="0089448A"/>
    <w:rsid w:val="0089560D"/>
    <w:rsid w:val="00897877"/>
    <w:rsid w:val="008A26D9"/>
    <w:rsid w:val="008A4C40"/>
    <w:rsid w:val="008A7B5B"/>
    <w:rsid w:val="008B12D2"/>
    <w:rsid w:val="008B4F33"/>
    <w:rsid w:val="008B672A"/>
    <w:rsid w:val="008C0962"/>
    <w:rsid w:val="008C0C29"/>
    <w:rsid w:val="008D02DA"/>
    <w:rsid w:val="008D300F"/>
    <w:rsid w:val="008D61DA"/>
    <w:rsid w:val="008D76BC"/>
    <w:rsid w:val="008E4442"/>
    <w:rsid w:val="008E7673"/>
    <w:rsid w:val="008E7DBA"/>
    <w:rsid w:val="008E7DC2"/>
    <w:rsid w:val="008F0829"/>
    <w:rsid w:val="008F3638"/>
    <w:rsid w:val="008F4441"/>
    <w:rsid w:val="008F6B20"/>
    <w:rsid w:val="008F6F31"/>
    <w:rsid w:val="008F74DF"/>
    <w:rsid w:val="00901045"/>
    <w:rsid w:val="00902274"/>
    <w:rsid w:val="009127BA"/>
    <w:rsid w:val="0091708B"/>
    <w:rsid w:val="00920AAE"/>
    <w:rsid w:val="009227A6"/>
    <w:rsid w:val="009270E7"/>
    <w:rsid w:val="00933EC1"/>
    <w:rsid w:val="0093450F"/>
    <w:rsid w:val="00940E87"/>
    <w:rsid w:val="009431A2"/>
    <w:rsid w:val="009446AD"/>
    <w:rsid w:val="009530DB"/>
    <w:rsid w:val="00953676"/>
    <w:rsid w:val="0095659D"/>
    <w:rsid w:val="00956F30"/>
    <w:rsid w:val="00960F40"/>
    <w:rsid w:val="00962A86"/>
    <w:rsid w:val="00966C9A"/>
    <w:rsid w:val="009705EE"/>
    <w:rsid w:val="00977927"/>
    <w:rsid w:val="0098135C"/>
    <w:rsid w:val="0098156A"/>
    <w:rsid w:val="00991BAC"/>
    <w:rsid w:val="009A4E5C"/>
    <w:rsid w:val="009A6EA0"/>
    <w:rsid w:val="009A7B93"/>
    <w:rsid w:val="009C1335"/>
    <w:rsid w:val="009C1AB2"/>
    <w:rsid w:val="009C7251"/>
    <w:rsid w:val="009E265D"/>
    <w:rsid w:val="009E2E91"/>
    <w:rsid w:val="009F2EB0"/>
    <w:rsid w:val="009F301E"/>
    <w:rsid w:val="009F3716"/>
    <w:rsid w:val="00A01B40"/>
    <w:rsid w:val="00A02356"/>
    <w:rsid w:val="00A131F8"/>
    <w:rsid w:val="00A139F5"/>
    <w:rsid w:val="00A25657"/>
    <w:rsid w:val="00A3190F"/>
    <w:rsid w:val="00A32E16"/>
    <w:rsid w:val="00A365F4"/>
    <w:rsid w:val="00A45A3E"/>
    <w:rsid w:val="00A47D80"/>
    <w:rsid w:val="00A53132"/>
    <w:rsid w:val="00A563F2"/>
    <w:rsid w:val="00A566E8"/>
    <w:rsid w:val="00A66347"/>
    <w:rsid w:val="00A810F9"/>
    <w:rsid w:val="00A82D31"/>
    <w:rsid w:val="00A85E7E"/>
    <w:rsid w:val="00A86ECC"/>
    <w:rsid w:val="00A86FCC"/>
    <w:rsid w:val="00A90A6D"/>
    <w:rsid w:val="00A91006"/>
    <w:rsid w:val="00A971E5"/>
    <w:rsid w:val="00AA710D"/>
    <w:rsid w:val="00AB64F3"/>
    <w:rsid w:val="00AB6D25"/>
    <w:rsid w:val="00AD0E56"/>
    <w:rsid w:val="00AD48FF"/>
    <w:rsid w:val="00AD7D81"/>
    <w:rsid w:val="00AE229B"/>
    <w:rsid w:val="00AE2D4B"/>
    <w:rsid w:val="00AE4F99"/>
    <w:rsid w:val="00AF1B8C"/>
    <w:rsid w:val="00B0138B"/>
    <w:rsid w:val="00B01950"/>
    <w:rsid w:val="00B04160"/>
    <w:rsid w:val="00B11B69"/>
    <w:rsid w:val="00B14952"/>
    <w:rsid w:val="00B16871"/>
    <w:rsid w:val="00B21367"/>
    <w:rsid w:val="00B25B45"/>
    <w:rsid w:val="00B31E5A"/>
    <w:rsid w:val="00B44C7D"/>
    <w:rsid w:val="00B45011"/>
    <w:rsid w:val="00B47359"/>
    <w:rsid w:val="00B47661"/>
    <w:rsid w:val="00B6478E"/>
    <w:rsid w:val="00B653AB"/>
    <w:rsid w:val="00B65F9E"/>
    <w:rsid w:val="00B66B19"/>
    <w:rsid w:val="00B7035D"/>
    <w:rsid w:val="00B914E9"/>
    <w:rsid w:val="00B956EE"/>
    <w:rsid w:val="00BA2BA1"/>
    <w:rsid w:val="00BA2BA7"/>
    <w:rsid w:val="00BA3447"/>
    <w:rsid w:val="00BA3562"/>
    <w:rsid w:val="00BA3569"/>
    <w:rsid w:val="00BA3F5F"/>
    <w:rsid w:val="00BB487D"/>
    <w:rsid w:val="00BB4F09"/>
    <w:rsid w:val="00BC0EDF"/>
    <w:rsid w:val="00BC2D48"/>
    <w:rsid w:val="00BC3FF8"/>
    <w:rsid w:val="00BD4E33"/>
    <w:rsid w:val="00BE167F"/>
    <w:rsid w:val="00BE42A2"/>
    <w:rsid w:val="00BF32F1"/>
    <w:rsid w:val="00C030DE"/>
    <w:rsid w:val="00C03DD6"/>
    <w:rsid w:val="00C051A8"/>
    <w:rsid w:val="00C11AD7"/>
    <w:rsid w:val="00C22105"/>
    <w:rsid w:val="00C244B6"/>
    <w:rsid w:val="00C27BF1"/>
    <w:rsid w:val="00C3702F"/>
    <w:rsid w:val="00C4500A"/>
    <w:rsid w:val="00C62238"/>
    <w:rsid w:val="00C64A37"/>
    <w:rsid w:val="00C71203"/>
    <w:rsid w:val="00C7158E"/>
    <w:rsid w:val="00C71FD8"/>
    <w:rsid w:val="00C7250B"/>
    <w:rsid w:val="00C72CCE"/>
    <w:rsid w:val="00C7346B"/>
    <w:rsid w:val="00C77C0E"/>
    <w:rsid w:val="00C91687"/>
    <w:rsid w:val="00C924A8"/>
    <w:rsid w:val="00C945FE"/>
    <w:rsid w:val="00C96FAA"/>
    <w:rsid w:val="00C97A04"/>
    <w:rsid w:val="00CA107B"/>
    <w:rsid w:val="00CA337A"/>
    <w:rsid w:val="00CA484D"/>
    <w:rsid w:val="00CA4FB6"/>
    <w:rsid w:val="00CB0DF4"/>
    <w:rsid w:val="00CB2F90"/>
    <w:rsid w:val="00CB6AD4"/>
    <w:rsid w:val="00CC739E"/>
    <w:rsid w:val="00CC7657"/>
    <w:rsid w:val="00CD1EBB"/>
    <w:rsid w:val="00CD278B"/>
    <w:rsid w:val="00CD28CF"/>
    <w:rsid w:val="00CD58B7"/>
    <w:rsid w:val="00CD7967"/>
    <w:rsid w:val="00CE398A"/>
    <w:rsid w:val="00CF18EE"/>
    <w:rsid w:val="00CF30BD"/>
    <w:rsid w:val="00CF3170"/>
    <w:rsid w:val="00CF4099"/>
    <w:rsid w:val="00D00796"/>
    <w:rsid w:val="00D06C71"/>
    <w:rsid w:val="00D14157"/>
    <w:rsid w:val="00D14C65"/>
    <w:rsid w:val="00D1705B"/>
    <w:rsid w:val="00D261A2"/>
    <w:rsid w:val="00D344FD"/>
    <w:rsid w:val="00D43D8E"/>
    <w:rsid w:val="00D47641"/>
    <w:rsid w:val="00D506C3"/>
    <w:rsid w:val="00D616D2"/>
    <w:rsid w:val="00D63B5F"/>
    <w:rsid w:val="00D70EF7"/>
    <w:rsid w:val="00D71E2D"/>
    <w:rsid w:val="00D73A5C"/>
    <w:rsid w:val="00D80951"/>
    <w:rsid w:val="00D8397C"/>
    <w:rsid w:val="00D94EED"/>
    <w:rsid w:val="00D96026"/>
    <w:rsid w:val="00D972F6"/>
    <w:rsid w:val="00DA0CEA"/>
    <w:rsid w:val="00DA331D"/>
    <w:rsid w:val="00DA7C1C"/>
    <w:rsid w:val="00DB0233"/>
    <w:rsid w:val="00DB0C8F"/>
    <w:rsid w:val="00DB147A"/>
    <w:rsid w:val="00DB1B7A"/>
    <w:rsid w:val="00DB706E"/>
    <w:rsid w:val="00DC6708"/>
    <w:rsid w:val="00DC7CD3"/>
    <w:rsid w:val="00DD011A"/>
    <w:rsid w:val="00DD14B0"/>
    <w:rsid w:val="00DD44AE"/>
    <w:rsid w:val="00DE2400"/>
    <w:rsid w:val="00DE4784"/>
    <w:rsid w:val="00DE58F1"/>
    <w:rsid w:val="00DE6B58"/>
    <w:rsid w:val="00DF5E32"/>
    <w:rsid w:val="00E01436"/>
    <w:rsid w:val="00E03E79"/>
    <w:rsid w:val="00E04394"/>
    <w:rsid w:val="00E045BD"/>
    <w:rsid w:val="00E04D6C"/>
    <w:rsid w:val="00E11DA6"/>
    <w:rsid w:val="00E17B77"/>
    <w:rsid w:val="00E231AB"/>
    <w:rsid w:val="00E23337"/>
    <w:rsid w:val="00E259EA"/>
    <w:rsid w:val="00E25D33"/>
    <w:rsid w:val="00E3091B"/>
    <w:rsid w:val="00E32061"/>
    <w:rsid w:val="00E33F48"/>
    <w:rsid w:val="00E41C24"/>
    <w:rsid w:val="00E42FF9"/>
    <w:rsid w:val="00E44790"/>
    <w:rsid w:val="00E4714C"/>
    <w:rsid w:val="00E5175F"/>
    <w:rsid w:val="00E5178D"/>
    <w:rsid w:val="00E51AEB"/>
    <w:rsid w:val="00E522A7"/>
    <w:rsid w:val="00E5349E"/>
    <w:rsid w:val="00E54452"/>
    <w:rsid w:val="00E63B0C"/>
    <w:rsid w:val="00E664C5"/>
    <w:rsid w:val="00E671A2"/>
    <w:rsid w:val="00E74DA8"/>
    <w:rsid w:val="00E76D26"/>
    <w:rsid w:val="00E76EE5"/>
    <w:rsid w:val="00E77B24"/>
    <w:rsid w:val="00E849D7"/>
    <w:rsid w:val="00E87571"/>
    <w:rsid w:val="00E95B8E"/>
    <w:rsid w:val="00E967FD"/>
    <w:rsid w:val="00EA5B60"/>
    <w:rsid w:val="00EA78FB"/>
    <w:rsid w:val="00EB1390"/>
    <w:rsid w:val="00EB2C71"/>
    <w:rsid w:val="00EB3333"/>
    <w:rsid w:val="00EB4340"/>
    <w:rsid w:val="00EB556D"/>
    <w:rsid w:val="00EB5A7D"/>
    <w:rsid w:val="00EC3E90"/>
    <w:rsid w:val="00ED0FAF"/>
    <w:rsid w:val="00ED45D8"/>
    <w:rsid w:val="00ED55C0"/>
    <w:rsid w:val="00ED682B"/>
    <w:rsid w:val="00EE41D5"/>
    <w:rsid w:val="00EE4A58"/>
    <w:rsid w:val="00EE5D12"/>
    <w:rsid w:val="00EE6E49"/>
    <w:rsid w:val="00F0166F"/>
    <w:rsid w:val="00F037A4"/>
    <w:rsid w:val="00F049AB"/>
    <w:rsid w:val="00F07934"/>
    <w:rsid w:val="00F142DB"/>
    <w:rsid w:val="00F27C8F"/>
    <w:rsid w:val="00F32749"/>
    <w:rsid w:val="00F33074"/>
    <w:rsid w:val="00F37172"/>
    <w:rsid w:val="00F40427"/>
    <w:rsid w:val="00F4477E"/>
    <w:rsid w:val="00F46269"/>
    <w:rsid w:val="00F60BA8"/>
    <w:rsid w:val="00F63BEF"/>
    <w:rsid w:val="00F67211"/>
    <w:rsid w:val="00F67D8F"/>
    <w:rsid w:val="00F70A0F"/>
    <w:rsid w:val="00F802BE"/>
    <w:rsid w:val="00F80E93"/>
    <w:rsid w:val="00F86024"/>
    <w:rsid w:val="00F8611A"/>
    <w:rsid w:val="00F903F6"/>
    <w:rsid w:val="00FA5128"/>
    <w:rsid w:val="00FA5360"/>
    <w:rsid w:val="00FB0316"/>
    <w:rsid w:val="00FB42D4"/>
    <w:rsid w:val="00FB5906"/>
    <w:rsid w:val="00FB762F"/>
    <w:rsid w:val="00FC2AED"/>
    <w:rsid w:val="00FD51B5"/>
    <w:rsid w:val="00FD5EA7"/>
    <w:rsid w:val="00FE2E47"/>
    <w:rsid w:val="00FE36CF"/>
    <w:rsid w:val="00FE643F"/>
    <w:rsid w:val="00FF0246"/>
    <w:rsid w:val="00FF3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7B308C"/>
    <w:pPr>
      <w:keepNext/>
      <w:outlineLvl w:val="5"/>
    </w:p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484768"/>
    <w:pPr>
      <w:keepNext/>
      <w:spacing w:before="0" w:after="0" w:line="276" w:lineRule="auto"/>
      <w:outlineLvl w:val="6"/>
    </w:pPr>
    <w:rPr>
      <w:b/>
      <w:sz w:val="20"/>
      <w:szCs w:val="20"/>
      <w:lang w:val="fi-FI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3B04CC"/>
    <w:pPr>
      <w:spacing w:line="240" w:lineRule="exact"/>
    </w:pPr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3B04CC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rsid w:val="007B308C"/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7B308C"/>
    <w:rPr>
      <w:color w:val="954F72" w:themeColor="followedHyperlink"/>
      <w:u w:val="single"/>
    </w:rPr>
  </w:style>
  <w:style w:type="character" w:customStyle="1" w:styleId="Nagwek7Znak">
    <w:name w:val="Nagłówek 7 Znak"/>
    <w:basedOn w:val="Domylnaczcionkaakapitu"/>
    <w:link w:val="Nagwek7"/>
    <w:uiPriority w:val="9"/>
    <w:rsid w:val="00484768"/>
    <w:rPr>
      <w:rFonts w:ascii="Fira Sans" w:hAnsi="Fira Sans"/>
      <w:b/>
      <w:sz w:val="20"/>
      <w:szCs w:val="20"/>
      <w:lang w:val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26" Type="http://schemas.openxmlformats.org/officeDocument/2006/relationships/image" Target="media/image12.png"/><Relationship Id="rId39" Type="http://schemas.openxmlformats.org/officeDocument/2006/relationships/fontTable" Target="fontTable.xml"/><Relationship Id="rId21" Type="http://schemas.openxmlformats.org/officeDocument/2006/relationships/hyperlink" Target="https://warszawa.stat.gov.pl/" TargetMode="External"/><Relationship Id="rId34" Type="http://schemas.openxmlformats.org/officeDocument/2006/relationships/hyperlink" Target="https://stat.gov.pl/metainformacje/slownik-pojec/pojecia-stosowane-w-statystyce-publicznej/201,pojecie.htm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5" Type="http://schemas.openxmlformats.org/officeDocument/2006/relationships/hyperlink" Target="https://www.facebook.com/UrzadStatystycznywWarszawie" TargetMode="External"/><Relationship Id="rId33" Type="http://schemas.openxmlformats.org/officeDocument/2006/relationships/hyperlink" Target="https://stat.gov.pl/metainformacje/slownik-pojec/pojecia-stosowane-w-statystyce-publicznej/693,pojecie.html" TargetMode="External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9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hyperlink" Target="https://stat.gov.pl/metainformacje/slownik-pojec/pojecia-stosowane-w-statystyce-publicznej/376,pojecie.html" TargetMode="External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36" Type="http://schemas.openxmlformats.org/officeDocument/2006/relationships/hyperlink" Target="https://stat.gov.pl/metainformacje/slownik-pojec/pojecia-stosowane-w-statystyce-publicznej/588,pojecie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hyperlink" Target="https://stat.gov.pl/metainformacje/slownik-pojec/pojecia-stosowane-w-statystyce-publicznej/2390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yperlink" Target="https://twitter.com/Warszawa_STAT" TargetMode="External"/><Relationship Id="rId27" Type="http://schemas.openxmlformats.org/officeDocument/2006/relationships/image" Target="media/image13.png"/><Relationship Id="rId30" Type="http://schemas.openxmlformats.org/officeDocument/2006/relationships/hyperlink" Target="https://stat.gov.pl/metainformacje/slownik-pojec/pojecia-stosowane-w-statystyce-publicznej/2958,pojecie.html" TargetMode="External"/><Relationship Id="rId35" Type="http://schemas.openxmlformats.org/officeDocument/2006/relationships/hyperlink" Target="https://stat.gov.pl/metainformacje/slownik-pojec/pojecia-stosowane-w-statystyce-publicznej/587,pojecie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4.xml><?xml version="1.0" encoding="utf-8"?>
<ds:datastoreItem xmlns:ds="http://schemas.openxmlformats.org/officeDocument/2006/customXml" ds:itemID="{F7FE4365-3791-43FA-A03C-4B25751DF1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2687</Words>
  <Characters>16555</Characters>
  <Application>Microsoft Office Word</Application>
  <DocSecurity>0</DocSecurity>
  <Lines>285</Lines>
  <Paragraphs>121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Cacko Anna</cp:lastModifiedBy>
  <cp:revision>2</cp:revision>
  <cp:lastPrinted>2019-02-21T09:45:00Z</cp:lastPrinted>
  <dcterms:created xsi:type="dcterms:W3CDTF">2022-05-26T06:09:00Z</dcterms:created>
  <dcterms:modified xsi:type="dcterms:W3CDTF">2022-05-26T06:09:00Z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